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 №1 к Документации о закупке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выполнение работ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</w:t>
      </w:r>
      <w:r>
        <w:rPr>
          <w:rFonts w:eastAsia="Calibri"/>
          <w:b/>
          <w:sz w:val="24"/>
          <w:szCs w:val="24"/>
        </w:rPr>
        <w:t xml:space="preserve">11037025-РЕМ ПРОД-2026-ДГК-ПТС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\h \f \u \o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tabs>
              <w:tab w:val="left" w:pos="566" w:leader="none"/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395" w:anchor="_Toc54646395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Style w:val="1013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Общие сведения</w:t>
              <w:tab/>
              <w:t xml:space="preserve">3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4"/>
            <w:tabs>
              <w:tab w:val="left" w:pos="2240" w:leader="none"/>
              <w:tab w:val="right" w:pos="11030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396" w:anchor="_Toc54646396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Обозначения и сокращения</w:t>
              <w:tab/>
              <w:t xml:space="preserve">3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4"/>
            <w:tabs>
              <w:tab w:val="left" w:pos="2240" w:leader="none"/>
              <w:tab w:val="right" w:pos="11030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397" w:anchor="_Toc54646397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Наименование закупаемой продукции</w:t>
              <w:tab/>
              <w:t xml:space="preserve">4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4"/>
            <w:tabs>
              <w:tab w:val="left" w:pos="2240" w:leader="none"/>
              <w:tab w:val="right" w:pos="11030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398" w:anchor="_Toc54646398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1.3.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Цель выполнения работ </w:t>
              <w:tab/>
              <w:t xml:space="preserve">4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ind w:left="0" w:right="0" w:firstLine="567"/>
            <w:tabs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0" w:anchor="_Toc54646400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Таблица 1. Перечень объектов заказчика</w:t>
              <w:tab/>
              <w:t xml:space="preserve">4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2"/>
            <w:ind w:left="0" w:right="0" w:firstLine="567"/>
            <w:jc w:val="both"/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1.4.</w:t>
            <w:tab/>
            <w:t xml:space="preserve">Информация в отношении исполнения договора, которая должна быть учтена при подготовке заявки  (в том числе перечень ресурсов, услуг и документов, предоставляемых заказчиком на этапе исполнения договора……………………………………………………   ……4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2"/>
            <w:ind w:left="0" w:right="0" w:firstLine="567"/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1.4.1 Заказчик предоставит Подрядчику:                                                                                    4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2"/>
            <w:ind w:left="0" w:right="0" w:firstLine="567"/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1.5.</w:t>
            <w:tab/>
            <w:t xml:space="preserve">Иные требования и сведения общего характер............................................................4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tabs>
              <w:tab w:val="left" w:pos="566" w:leader="none"/>
              <w:tab w:val="right" w:pos="9778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3" w:anchor="_Toc54646403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Style w:val="1013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Требования к продукции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5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4"/>
            <w:tabs>
              <w:tab w:val="left" w:pos="2240" w:leader="none"/>
              <w:tab w:val="right" w:pos="11030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4" w:anchor="_Toc54646404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2.1.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Требования к объемам и срокам выполнения работ</w:t>
              <w:tab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  <w:t xml:space="preserve">5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ind w:left="0" w:right="0" w:firstLine="567"/>
            <w:tabs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6" w:anchor="_Toc54646406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Таблица 2. Перечень и объем выполняемых работ</w:t>
              <w:tab/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5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ind w:left="0" w:right="0" w:firstLine="567"/>
            <w:tabs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8" w:anchor="_Toc54646408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Таблица 3. Требования по срокам выполнения работ</w:t>
              <w:tab/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5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4"/>
            <w:tabs>
              <w:tab w:val="left" w:pos="2240" w:leader="none"/>
              <w:tab w:val="right" w:pos="11030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09" w:anchor="_Toc54646409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2.2.</w:t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 работ</w:t>
              <w:tab/>
              <w:t xml:space="preserve">6</w:t>
            </w:r>
          </w:hyperlink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ind w:left="0" w:right="0" w:firstLine="567"/>
            <w:tabs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10" w:anchor="_Toc54646410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Таблица 4. Требования к качеству работ</w:t>
              <w:tab/>
            </w:r>
          </w:hyperlink>
          <w:r>
            <w:rPr>
              <w:sz w:val="24"/>
              <w:szCs w:val="24"/>
            </w:rPr>
            <w:t xml:space="preserve">6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tabs>
              <w:tab w:val="left" w:pos="566" w:leader="none"/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11" w:anchor="_Toc54646411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Style w:val="1013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закупки</w:t>
              <w:tab/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21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1"/>
            <w:tabs>
              <w:tab w:val="left" w:pos="566" w:leader="none"/>
              <w:tab w:val="right" w:pos="9909" w:leader="dot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hyperlink w:tooltip="#_Toc54646412" w:anchor="_Toc54646412" w:history="1">
            <w:r>
              <w:rPr>
                <w:rStyle w:val="1013"/>
                <w:sz w:val="24"/>
                <w:szCs w:val="24"/>
              </w:rPr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4.</w:t>
            </w:r>
            <w:r>
              <w:rPr>
                <w:rStyle w:val="1013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>
              <w:rPr>
                <w:rStyle w:val="1013"/>
                <w:rFonts w:ascii="Times New Roman" w:hAnsi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2</w:t>
            </w:r>
          </w:hyperlink>
          <w:r>
            <w:rPr>
              <w:rFonts w:ascii="Times New Roman" w:hAnsi="Times New Roman" w:cs="Times New Roman"/>
              <w:b w:val="0"/>
              <w:sz w:val="24"/>
              <w:szCs w:val="24"/>
            </w:rPr>
            <w:t xml:space="preserve">1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pStyle w:val="1012"/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5.      Приложения ................................................................................................................................21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  <w:p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</w:r>
        </w:p>
      </w:sdtContent>
    </w:sdt>
    <w:p>
      <w:pPr>
        <w:pStyle w:val="101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spacing w:after="160" w:line="259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03"/>
        <w:ind w:left="357" w:hanging="357"/>
        <w:jc w:val="center"/>
        <w:keepLines/>
        <w:rPr>
          <w:caps/>
          <w:sz w:val="24"/>
          <w:szCs w:val="24"/>
        </w:rPr>
      </w:pPr>
      <w:r>
        <w:rPr>
          <w:sz w:val="24"/>
          <w:szCs w:val="24"/>
        </w:rPr>
      </w:r>
      <w:bookmarkStart w:id="0" w:name="_Toc51339692"/>
      <w:r>
        <w:rPr>
          <w:sz w:val="24"/>
          <w:szCs w:val="24"/>
        </w:rPr>
      </w:r>
      <w:bookmarkStart w:id="1" w:name="_Toc54646395"/>
      <w:r>
        <w:rPr>
          <w:sz w:val="24"/>
          <w:szCs w:val="24"/>
        </w:rPr>
        <w:t xml:space="preserve">Общие сведения</w:t>
      </w:r>
      <w:bookmarkEnd w:id="0"/>
      <w:r>
        <w:rPr>
          <w:sz w:val="24"/>
          <w:szCs w:val="24"/>
        </w:rPr>
      </w:r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806"/>
        <w:rPr>
          <w:sz w:val="24"/>
          <w:szCs w:val="24"/>
        </w:rPr>
      </w:pPr>
      <w:r>
        <w:rPr>
          <w:sz w:val="24"/>
          <w:szCs w:val="24"/>
        </w:rPr>
      </w:r>
      <w:bookmarkStart w:id="2" w:name="_Toc46743505"/>
      <w:r>
        <w:rPr>
          <w:sz w:val="24"/>
          <w:szCs w:val="24"/>
        </w:rPr>
      </w:r>
      <w:bookmarkStart w:id="3" w:name="_Toc54646396"/>
      <w:r>
        <w:rPr>
          <w:sz w:val="24"/>
          <w:szCs w:val="24"/>
        </w:rPr>
        <w:t xml:space="preserve">Обозначения и сокращения</w:t>
      </w:r>
      <w:bookmarkEnd w:id="2"/>
      <w:r>
        <w:rPr>
          <w:sz w:val="24"/>
          <w:szCs w:val="24"/>
        </w:rPr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Style w:val="999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9"/>
          <w:b w:val="0"/>
          <w:bCs/>
          <w:iCs/>
          <w:sz w:val="24"/>
          <w:szCs w:val="24"/>
        </w:rPr>
      </w:r>
      <w:r>
        <w:rPr>
          <w:rStyle w:val="999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9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9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Государственный стандарт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КС-2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кт о приемке выполненных работ (форма № КС-2)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КС-3</w:t>
            </w:r>
            <w:r>
              <w:rPr>
                <w:bCs w:val="0"/>
                <w:sz w:val="24"/>
                <w:szCs w:val="24"/>
                <w:highlight w:val="white"/>
              </w:rPr>
            </w:r>
            <w:r>
              <w:rPr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правка о стоимости выполненных работ и затрат (форма № КС-3)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ЛНА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Локальный нормативный акт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НТД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ОДМ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Отраслевой дорожный методический документ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ОКПД</w:t>
            </w:r>
            <w:r>
              <w:rPr>
                <w:iCs/>
                <w:sz w:val="24"/>
                <w:szCs w:val="24"/>
              </w:rPr>
              <w:t xml:space="preserve">2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ППР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Проект производства работ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999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Руководящий документ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Рабочий проект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СНиП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Строительные нормы и правила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подразделение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ТК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Тепловая камера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rPr>
          <w:sz w:val="24"/>
          <w:szCs w:val="24"/>
        </w:rPr>
      </w:pPr>
      <w:r>
        <w:rPr>
          <w:sz w:val="24"/>
          <w:szCs w:val="24"/>
        </w:rPr>
      </w:r>
      <w:bookmarkStart w:id="4" w:name="_Toc54646397"/>
      <w:r>
        <w:rPr>
          <w:sz w:val="24"/>
          <w:szCs w:val="24"/>
        </w:rPr>
        <w:t xml:space="preserve">Наименование закупаемой продукции</w:t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rPr>
          <w:rStyle w:val="999"/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Цель </w:t>
      </w:r>
      <w:r>
        <w:rPr>
          <w:sz w:val="24"/>
          <w:szCs w:val="24"/>
          <w:highlight w:val="white"/>
        </w:rPr>
        <w:t xml:space="preserve">выполнения работ </w:t>
      </w:r>
      <w:r>
        <w:rPr>
          <w:rStyle w:val="999"/>
          <w:b/>
          <w:sz w:val="24"/>
          <w:szCs w:val="24"/>
          <w:highlight w:val="white"/>
        </w:rPr>
      </w:r>
      <w:r>
        <w:rPr>
          <w:rStyle w:val="999"/>
          <w:b/>
          <w:sz w:val="24"/>
          <w:szCs w:val="24"/>
          <w:highlight w:val="whit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white"/>
        </w:rPr>
      </w:pPr>
      <w:r>
        <w:rPr>
          <w:rFonts w:eastAsia="Calibri"/>
          <w:i/>
          <w:sz w:val="24"/>
          <w:szCs w:val="24"/>
          <w:highlight w:val="white"/>
        </w:rPr>
        <w:t xml:space="preserve">Целью работы является</w:t>
      </w:r>
      <w:r>
        <w:rPr>
          <w:rFonts w:eastAsia="Calibri"/>
          <w:i/>
          <w:sz w:val="24"/>
          <w:szCs w:val="24"/>
          <w:highlight w:val="white"/>
        </w:rPr>
        <w:t xml:space="preserve"> </w:t>
      </w:r>
      <w:r>
        <w:rPr>
          <w:rFonts w:eastAsia="Calibri"/>
          <w:i/>
          <w:sz w:val="24"/>
          <w:szCs w:val="24"/>
          <w:highlight w:val="white"/>
        </w:rPr>
        <w:t xml:space="preserve">в</w:t>
      </w:r>
      <w:r>
        <w:rPr>
          <w:rFonts w:eastAsia="Calibri"/>
          <w:i/>
          <w:sz w:val="24"/>
          <w:szCs w:val="24"/>
          <w:highlight w:val="white"/>
        </w:rPr>
        <w:t xml:space="preserve">осстановление работоспособности трубопровода в безаварийном режиме в период прохождения нагрузок,для подачи потребителям тепловой энергии в установленных </w:t>
      </w:r>
      <w:r>
        <w:rPr>
          <w:rFonts w:eastAsia="Calibri"/>
          <w:i/>
          <w:sz w:val="24"/>
          <w:szCs w:val="24"/>
          <w:highlight w:val="white"/>
        </w:rPr>
        <w:t xml:space="preserve">параметров.</w:t>
      </w:r>
      <w:r>
        <w:rPr>
          <w:rFonts w:eastAsia="Calibri"/>
          <w:bCs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</w:p>
    <w:p>
      <w:pPr>
        <w:pStyle w:val="803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7" w:name="_Таблица_1."/>
      <w:r>
        <w:rPr>
          <w:sz w:val="24"/>
          <w:szCs w:val="24"/>
        </w:rPr>
      </w:r>
      <w:bookmarkStart w:id="8" w:name="_Toc54646400"/>
      <w:r>
        <w:rPr>
          <w:sz w:val="24"/>
          <w:szCs w:val="24"/>
        </w:rPr>
      </w:r>
      <w:bookmarkEnd w:id="7"/>
      <w:r>
        <w:rPr>
          <w:sz w:val="24"/>
          <w:szCs w:val="24"/>
        </w:rPr>
        <w:t xml:space="preserve">Таблица 1. Перечень объектов Заказчика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2284"/>
        <w:gridCol w:w="3882"/>
        <w:gridCol w:w="2974"/>
      </w:tblGrid>
      <w:tr>
        <w:tblPrEx/>
        <w:trPr>
          <w:trHeight w:val="1511"/>
        </w:trPr>
        <w:tc>
          <w:tcPr>
            <w:tcW w:w="108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1"/>
        </w:trPr>
        <w:tc>
          <w:tcPr>
            <w:tcW w:w="108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617"/>
        </w:trPr>
        <w:tc>
          <w:tcPr>
            <w:tcW w:w="1083" w:type="dxa"/>
            <w:vMerge w:val="restart"/>
            <w:textDirection w:val="lrTb"/>
            <w:noWrap w:val="false"/>
          </w:tcPr>
          <w:p>
            <w:pPr>
              <w:pStyle w:val="1002"/>
              <w:numPr>
                <w:ilvl w:val="0"/>
                <w:numId w:val="30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Тепловая сеть </w:t>
            </w: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УТ 2636 - УТ 2637 по ул.Вилкова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88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СП «Приморские тепловые сети» АО «ДГК» (СП «ПТС» АО ДГК») Российская Федерация, Приморский Край,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г.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9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Тепломагистраль (Лит. Т9)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(инв. 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00000000000000034271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jc w:val="both"/>
        <w:rPr>
          <w:rStyle w:val="999"/>
          <w:b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9" w:name="_Toc129956736"/>
      <w:r>
        <w:rPr>
          <w:sz w:val="24"/>
          <w:szCs w:val="24"/>
          <w:highlight w:val="white"/>
        </w:rPr>
        <w:t xml:space="preserve">Информация в отношении исполнения договора, </w:t>
      </w:r>
      <w:bookmarkStart w:id="10" w:name="_Hlk46492347"/>
      <w:r>
        <w:rPr>
          <w:sz w:val="24"/>
          <w:szCs w:val="24"/>
          <w:highlight w:val="white"/>
        </w:rPr>
        <w:t xml:space="preserve">которая должна быть учтена при подготовке заявки </w:t>
      </w:r>
      <w:bookmarkEnd w:id="10"/>
      <w:r>
        <w:rPr>
          <w:sz w:val="24"/>
          <w:szCs w:val="24"/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>
        <w:rPr>
          <w:sz w:val="24"/>
          <w:szCs w:val="24"/>
          <w:highlight w:val="white"/>
        </w:rPr>
        <w:t xml:space="preserve"> </w:t>
      </w:r>
      <w:r>
        <w:rPr>
          <w:rStyle w:val="999"/>
          <w:b/>
          <w:sz w:val="24"/>
          <w:szCs w:val="24"/>
          <w:highlight w:val="white"/>
        </w:rPr>
      </w:r>
      <w:r>
        <w:rPr>
          <w:rStyle w:val="999"/>
          <w:b/>
          <w:sz w:val="24"/>
          <w:szCs w:val="24"/>
          <w:highlight w:val="white"/>
        </w:rPr>
      </w:r>
    </w:p>
    <w:p>
      <w:pPr>
        <w:pStyle w:val="805"/>
        <w:numPr>
          <w:ilvl w:val="0"/>
          <w:numId w:val="0"/>
        </w:numPr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11" w:name="_Toc129956737"/>
      <w:r>
        <w:rPr>
          <w:sz w:val="24"/>
          <w:szCs w:val="24"/>
          <w:highlight w:val="white"/>
        </w:rPr>
        <w:t xml:space="preserve">1.4.1 Заказчик предоставит Подрядчику:</w:t>
      </w:r>
      <w:bookmarkEnd w:id="11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02"/>
        <w:numPr>
          <w:ilvl w:val="0"/>
          <w:numId w:val="31"/>
        </w:numPr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ехническую и иную документацию, содержащую исходные данные для выполнения </w:t>
      </w:r>
      <w:r>
        <w:rPr>
          <w:sz w:val="24"/>
          <w:szCs w:val="24"/>
          <w:highlight w:val="white"/>
        </w:rPr>
        <w:t xml:space="preserve">Подрядчиком Работ</w:t>
      </w:r>
      <w:r>
        <w:rPr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После письменного запроса Подрядчика</w:t>
      </w:r>
      <w:r>
        <w:rPr>
          <w:sz w:val="24"/>
          <w:szCs w:val="24"/>
          <w:highlight w:val="white"/>
        </w:rPr>
        <w:t xml:space="preserve">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06"/>
        <w:ind w:left="-142" w:right="0" w:firstLine="142"/>
        <w:rPr>
          <w:sz w:val="24"/>
          <w:szCs w:val="24"/>
        </w:rPr>
      </w:pPr>
      <w:r>
        <w:rPr>
          <w:sz w:val="24"/>
          <w:szCs w:val="24"/>
        </w:rPr>
        <w:t xml:space="preserve">Иные требования и сведения общего характера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 началом выполнения работ Подрядчик должен передать в Управление градостроительства и архитектуры заявку на о</w:t>
      </w:r>
      <w:r>
        <w:rPr>
          <w:sz w:val="24"/>
          <w:szCs w:val="24"/>
        </w:rPr>
        <w:t xml:space="preserve">ткрытие разрешения (ордера) на производство земляных работ. Подрядчик несёт ответственность за сохранность благоустройства территории, прилегающей к отведённым для производства работ земельных участков, а также за последствия не закрытия разрешения в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ind w:left="357" w:hanging="357"/>
        <w:jc w:val="center"/>
        <w:keepLines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06"/>
        <w:rPr>
          <w:sz w:val="24"/>
          <w:szCs w:val="24"/>
        </w:rPr>
      </w:pPr>
      <w:r>
        <w:rPr>
          <w:sz w:val="24"/>
          <w:szCs w:val="24"/>
        </w:rPr>
      </w:r>
      <w:bookmarkStart w:id="12" w:name="_Toc54646404"/>
      <w:r>
        <w:rPr>
          <w:sz w:val="24"/>
          <w:szCs w:val="24"/>
        </w:rPr>
        <w:t xml:space="preserve">Требования к объемам и срокам выполнения работ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5"/>
        <w:rPr>
          <w:sz w:val="24"/>
          <w:szCs w:val="24"/>
        </w:rPr>
      </w:pPr>
      <w:r>
        <w:rPr>
          <w:sz w:val="24"/>
          <w:szCs w:val="24"/>
        </w:rPr>
      </w:r>
      <w:bookmarkStart w:id="13" w:name="_Toc54646405"/>
      <w:r>
        <w:rPr>
          <w:sz w:val="24"/>
          <w:szCs w:val="24"/>
        </w:rPr>
        <w:t xml:space="preserve">Требования к видам и объемам работ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14" w:name="_Toc51339695"/>
      <w:r>
        <w:rPr>
          <w:sz w:val="24"/>
          <w:szCs w:val="24"/>
        </w:rPr>
      </w:r>
      <w:bookmarkStart w:id="15" w:name="_Toc54646406"/>
      <w:r>
        <w:rPr>
          <w:sz w:val="24"/>
          <w:szCs w:val="24"/>
        </w:rPr>
        <w:t xml:space="preserve">Таблица 2. Перечень </w:t>
      </w:r>
      <w:bookmarkEnd w:id="14"/>
      <w:r>
        <w:rPr>
          <w:sz w:val="24"/>
          <w:szCs w:val="24"/>
        </w:rPr>
        <w:t xml:space="preserve">и объем выполняемых работ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707"/>
        <w:gridCol w:w="2127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0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ведомостью объемов работ (Приложение №2</w:t>
            </w:r>
            <w:r>
              <w:rPr>
                <w:i/>
                <w:iCs/>
                <w:sz w:val="24"/>
                <w:szCs w:val="24"/>
              </w:rPr>
              <w:t xml:space="preserve"> к настоящим </w:t>
            </w:r>
            <w:r>
              <w:rPr>
                <w:i/>
                <w:iCs/>
                <w:sz w:val="24"/>
                <w:szCs w:val="24"/>
              </w:rPr>
              <w:t xml:space="preserve">ТТ</w:t>
            </w:r>
            <w:r>
              <w:rPr>
                <w:i/>
                <w:iCs/>
                <w:sz w:val="24"/>
                <w:szCs w:val="24"/>
              </w:rPr>
              <w:t xml:space="preserve">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05"/>
        <w:rPr>
          <w:sz w:val="24"/>
          <w:szCs w:val="24"/>
        </w:rPr>
      </w:pPr>
      <w:r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 xml:space="preserve">к срокам выполнения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18" w:name="_Toc50125127"/>
      <w:r>
        <w:rPr>
          <w:sz w:val="24"/>
          <w:szCs w:val="24"/>
        </w:rPr>
      </w:r>
      <w:bookmarkStart w:id="19" w:name="_Toc51339697"/>
      <w:r>
        <w:rPr>
          <w:sz w:val="24"/>
          <w:szCs w:val="24"/>
        </w:rPr>
      </w:r>
      <w:bookmarkStart w:id="20" w:name="_Toc54646408"/>
      <w:r>
        <w:rPr>
          <w:sz w:val="24"/>
          <w:szCs w:val="24"/>
        </w:rPr>
        <w:t xml:space="preserve">Таблица 3. </w:t>
      </w:r>
      <w:bookmarkStart w:id="21" w:name="_Hlk50465284"/>
      <w:r>
        <w:rPr>
          <w:sz w:val="24"/>
          <w:szCs w:val="24"/>
        </w:rPr>
        <w:t xml:space="preserve">Требования по срокам </w:t>
      </w:r>
      <w:bookmarkEnd w:id="18"/>
      <w:r>
        <w:rPr>
          <w:sz w:val="24"/>
          <w:szCs w:val="24"/>
        </w:rPr>
      </w:r>
      <w:bookmarkEnd w:id="19"/>
      <w:r>
        <w:rPr>
          <w:sz w:val="24"/>
          <w:szCs w:val="24"/>
        </w:rPr>
      </w:r>
      <w:bookmarkEnd w:id="21"/>
      <w:r>
        <w:rPr>
          <w:sz w:val="24"/>
          <w:szCs w:val="24"/>
        </w:rPr>
        <w:t xml:space="preserve">выполнения работ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581"/>
        <w:gridCol w:w="2977"/>
        <w:gridCol w:w="3260"/>
      </w:tblGrid>
      <w:tr>
        <w:tblPrEx/>
        <w:trPr/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</w:t>
            </w:r>
            <w:r>
              <w:rPr>
                <w:sz w:val="24"/>
                <w:szCs w:val="24"/>
              </w:rPr>
              <w:t xml:space="preserve">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</w:t>
            </w:r>
            <w:r>
              <w:rPr>
                <w:sz w:val="24"/>
                <w:szCs w:val="24"/>
              </w:rPr>
              <w:t xml:space="preserve">срока выполнения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6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8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04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04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940"/>
        </w:trPr>
        <w:tc>
          <w:tcPr>
            <w:shd w:val="clear" w:color="auto" w:fill="auto"/>
            <w:tcW w:w="963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5"/>
              </w:num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8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16</w:t>
            </w:r>
            <w:r>
              <w:rPr>
                <w:sz w:val="24"/>
                <w:szCs w:val="24"/>
                <w:highlight w:val="white"/>
              </w:rPr>
              <w:t xml:space="preserve">.08.2026</w:t>
            </w:r>
            <w:r>
              <w:rPr>
                <w:sz w:val="24"/>
                <w:szCs w:val="24"/>
                <w:highlight w:val="white"/>
              </w:rPr>
              <w:t xml:space="preserve">*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40"/>
        </w:trPr>
        <w:tc>
          <w:tcPr>
            <w:shd w:val="clear" w:color="ffffff" w:fill="ffffff"/>
            <w:tcW w:w="96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8818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Тепловая сеть </w:t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УТ 2636 - УТ 2637 по ул.Вилкова </w:t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963" w:type="dxa"/>
            <w:vMerge w:val="restart"/>
            <w:textDirection w:val="lrTb"/>
            <w:noWrap w:val="false"/>
          </w:tcPr>
          <w:p>
            <w:pPr>
              <w:ind w:left="36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58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Земляные работы, производство демонтажных работ, монтаж ЖБИ, трубопроводов,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окраска, изоляция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05.08.2026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963" w:type="dxa"/>
            <w:vMerge w:val="restart"/>
            <w:textDirection w:val="lrTb"/>
            <w:noWrap w:val="false"/>
          </w:tcPr>
          <w:p>
            <w:pPr>
              <w:ind w:left="360"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360"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581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Обратная засыпка (благоустройство)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05.08.2026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16.08.2026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rFonts w:eastAsia="Calibri"/>
          <w:bCs/>
          <w:i/>
          <w:sz w:val="24"/>
          <w:szCs w:val="24"/>
          <w:highlight w:val="white"/>
        </w:rPr>
      </w:pPr>
      <w:r>
        <w:rPr>
          <w:rFonts w:eastAsia="Calibri"/>
          <w:bCs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</w:p>
    <w:tbl>
      <w:tblPr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41"/>
        <w:gridCol w:w="1559"/>
        <w:gridCol w:w="1843"/>
      </w:tblGrid>
      <w:tr>
        <w:tblPrEx/>
        <w:trPr/>
        <w:tc>
          <w:tcPr>
            <w:gridSpan w:val="4"/>
            <w:shd w:val="clear" w:color="ffffff" w:fill="ffffff"/>
            <w:tcBorders>
              <w:bottom w:val="single" w:color="000000" w:sz="4" w:space="0"/>
            </w:tcBorders>
            <w:tcW w:w="9781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  <w:t xml:space="preserve">*дату начала производства работ на объекте письменно согласовать с Заказчиком.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rFonts w:eastAsia="Calibri"/>
          <w:bCs/>
          <w:i/>
          <w:sz w:val="24"/>
          <w:szCs w:val="24"/>
          <w:highlight w:val="white"/>
        </w:rPr>
      </w:pPr>
      <w:r>
        <w:rPr>
          <w:rFonts w:eastAsia="Calibri"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  <w:r>
        <w:rPr>
          <w:rFonts w:eastAsia="Calibri"/>
          <w:bCs/>
          <w:i/>
          <w:sz w:val="24"/>
          <w:szCs w:val="24"/>
          <w:highlight w:val="white"/>
        </w:rPr>
      </w:r>
    </w:p>
    <w:p>
      <w:pPr>
        <w:spacing w:after="160" w:line="259" w:lineRule="auto"/>
        <w:rPr>
          <w:sz w:val="24"/>
          <w:szCs w:val="24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851" w:right="709" w:bottom="1134" w:left="1276" w:header="426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rPr>
          <w:sz w:val="24"/>
          <w:szCs w:val="24"/>
        </w:rPr>
      </w:pPr>
      <w:r>
        <w:rPr>
          <w:sz w:val="24"/>
          <w:szCs w:val="24"/>
        </w:rPr>
      </w:r>
      <w:bookmarkStart w:id="22" w:name="_Toc51339698"/>
      <w:r>
        <w:rPr>
          <w:sz w:val="24"/>
          <w:szCs w:val="24"/>
        </w:rPr>
      </w:r>
      <w:bookmarkStart w:id="23" w:name="_Toc54646410"/>
      <w:r>
        <w:rPr>
          <w:sz w:val="24"/>
          <w:szCs w:val="24"/>
        </w:rPr>
        <w:t xml:space="preserve">Требования к качеству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22"/>
      <w:r>
        <w:rPr>
          <w:sz w:val="24"/>
          <w:szCs w:val="24"/>
        </w:rPr>
        <w:t xml:space="preserve">качеству работ</w:t>
      </w:r>
      <w:bookmarkEnd w:id="2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rStyle w:val="999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999"/>
          <w:b w:val="0"/>
          <w:iCs/>
          <w:sz w:val="24"/>
          <w:szCs w:val="24"/>
        </w:rPr>
      </w:r>
      <w:r>
        <w:rPr>
          <w:rStyle w:val="999"/>
          <w:b w:val="0"/>
          <w:iCs/>
          <w:sz w:val="24"/>
          <w:szCs w:val="24"/>
        </w:rPr>
      </w:r>
    </w:p>
    <w:tbl>
      <w:tblPr>
        <w:tblStyle w:val="1005"/>
        <w:tblW w:w="151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126"/>
        <w:gridCol w:w="29"/>
        <w:gridCol w:w="6490"/>
        <w:gridCol w:w="3402"/>
        <w:gridCol w:w="2407"/>
      </w:tblGrid>
      <w:tr>
        <w:tblPrEx/>
        <w:trPr/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1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49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15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49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9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0"/>
                <w:numId w:val="6"/>
              </w:num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должен предоставить в заявке согласие выполнить работы, полностью соответствующие настоящим ТТ,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15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490" w:type="dxa"/>
            <w:textDirection w:val="lrTb"/>
            <w:noWrap w:val="false"/>
          </w:tcPr>
          <w:p>
            <w:pPr>
              <w:ind w:right="97" w:firstLine="567"/>
              <w:jc w:val="both"/>
              <w:spacing w:line="276" w:lineRule="auto"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При выполнении работ подрядчик должен ру</w:t>
            </w:r>
            <w:r>
              <w:rPr>
                <w:bCs/>
                <w:sz w:val="24"/>
                <w:szCs w:val="24"/>
                <w:highlight w:val="white"/>
              </w:rPr>
              <w:t xml:space="preserve">ководствоваться </w:t>
            </w:r>
            <w:r>
              <w:rPr>
                <w:bCs/>
                <w:sz w:val="24"/>
                <w:szCs w:val="24"/>
                <w:highlight w:val="white"/>
              </w:rPr>
              <w:t xml:space="preserve">следующими</w:t>
            </w:r>
            <w:r>
              <w:rPr>
                <w:bCs/>
                <w:sz w:val="24"/>
                <w:szCs w:val="24"/>
                <w:highlight w:val="white"/>
              </w:rPr>
              <w:t xml:space="preserve"> национальными, отраслевыми и корпоративными НТД: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ВСН 19-89 «Правила приемки работ при строительстве и ремонте автомобильных дорог» (утв. Минавтодором РСФСР от 14.07.1989 г. №НА-18/266);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ВСН 214-89 Сборник инструкций по защите коррозий;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ГОСТ 32755-2014 «Дороги автомобильные общего пользования. Требования к проведению приемки в эксплуатацию выполненных работ»;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ГОСТ 32756-2014 «Дороги автомобильные общего пользования. Требования к проведению промежуточной приемки выполненных работ»;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ГОСТ 16037-80*. Межгосударственный стандарт. Соединения сварные стальных трубопроводов. Основные типы, конструктивные элементы и размеры (введен в действие Постановлением Госстандарта СССР от 24.04.1980 г. №1876) (ред. от 01.12.1990 г.);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РП 4011-07-26ТС.АС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«</w:t>
            </w:r>
            <w:r>
              <w:rPr>
                <w:sz w:val="24"/>
                <w:szCs w:val="24"/>
                <w:highlight w:val="white"/>
              </w:rPr>
              <w:t xml:space="preserve">Тепловая сеть №12 и №26. Участок УТ1224-УТ1225 по ул. Вилкова,12</w:t>
            </w:r>
            <w:r>
              <w:rPr>
                <w:sz w:val="24"/>
                <w:szCs w:val="24"/>
                <w:highlight w:val="white"/>
              </w:rPr>
              <w:t xml:space="preserve">» </w:t>
            </w:r>
            <w:r>
              <w:rPr>
                <w:sz w:val="24"/>
                <w:szCs w:val="24"/>
                <w:highlight w:val="white"/>
              </w:rPr>
              <w:t xml:space="preserve">(Приложение №6 к настоящим ТТ);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Методические рекомендации по ремонту и содержанию автомобильных дорог общего пользования (утв. Распоряже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нием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Росавтодора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Минтранса России; приняты и введены в действие Письмом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Росавтодора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от 17.03.2004 № ОС-28/1270-ис);</w:t>
            </w:r>
            <w:r>
              <w:rPr>
                <w:bCs/>
                <w:iCs/>
                <w:sz w:val="24"/>
                <w:szCs w:val="24"/>
                <w:highlight w:val="white"/>
              </w:rPr>
            </w:r>
            <w:r>
              <w:rPr>
                <w:bCs/>
                <w:iCs/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ОДМ 218.6.019-2016. Отраслевой дорожный методический документ. Рекомендации по организации движения и ограждению мест производства дорожных раб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от (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издан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на основании Распоряжения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Росавтодора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от 02.03.2016 N 303-р);</w:t>
            </w:r>
            <w:r>
              <w:rPr>
                <w:bCs/>
                <w:iCs/>
                <w:sz w:val="24"/>
                <w:szCs w:val="24"/>
                <w:highlight w:val="white"/>
              </w:rPr>
            </w:r>
            <w:r>
              <w:rPr>
                <w:bCs/>
                <w:iCs/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П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равила организации технического обслуживания и ремонта объектов электроэнергетики (ред. от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13.07.2020), утв. Приказом Минэнерго России от 25.10.2017 №1013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РД 34.26.095-91 Инструкцией по выполнению тепловой изоляции оборудования и трубопроводов тепловых и атомных электростанций. часть 1;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РД 153-34.1-003-01 «Сварка, термообработка и контроль трубных систем котлов и трубопроводов при монтаже и ремонте энергетического оборудования» </w:t>
            </w:r>
            <w:r>
              <w:rPr>
                <w:sz w:val="24"/>
                <w:szCs w:val="24"/>
                <w:highlight w:val="white"/>
              </w:rPr>
              <w:t xml:space="preserve">(РТМ-1С). Руководящий документ. " (утв. Приказом Минэнерго РФ от 02.07.2001 г. №197);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РД 03-614-03 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СП 45.13330.2017 Свод правил. Земляные сооружения, основания и фундаменты. Актуализированная редакция СНиП 3.02.01-87 (ред. 20.11.2019);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-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СП 48.13330.2019 «Организация строи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тельства. Актуализированная редакция СНиП 12-01-2004»;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СП 71.13330.2017 «Изоляция и отделочные покрытия» (СНиП 3-04-01-87 в актуализированной редакции утвержденной 28.08.2017);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СП 72.13330.2016 «Защита строительных конструкций и сооружений от коррозии» (СНиП 3.04.03-85  в актуализированной редакции утвержденной 17.06.2017);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СП 68.13330.2017 «Приемка в эксплуатацию зако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нченных строительством объектов. Основные положения» (с Изм. N 1) (ред. от 10.12.2019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СП 74.13330.2023 «Тепловые сети» СНиП 3.05.03-85. «Тепловые сети»);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СП 70.13330.2012 «Несущие ограждения и конструкции» (актуализированная редакция СНиП 3.03.01-87);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iCs/>
                <w:sz w:val="24"/>
                <w:szCs w:val="24"/>
                <w:highlight w:val="white"/>
              </w:rPr>
            </w:pPr>
            <w:r>
              <w:rPr>
                <w:bCs/>
                <w:iCs/>
                <w:sz w:val="24"/>
                <w:szCs w:val="24"/>
                <w:highlight w:val="white"/>
              </w:rPr>
              <w:t xml:space="preserve">- С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П 78.13330.2012. Свод пр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авил. Автомобильные дороги. Актуализированная редакция СНиП 3.06.03-85 (утв. Приказом 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Минрегиона</w:t>
            </w:r>
            <w:r>
              <w:rPr>
                <w:bCs/>
                <w:iCs/>
                <w:sz w:val="24"/>
                <w:szCs w:val="24"/>
                <w:highlight w:val="white"/>
              </w:rPr>
              <w:t xml:space="preserve"> России от 30.06.2012 № 272) с изм. №1 от 17.06.2017, с изм.№2 от 20.11.2021;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5" w:firstLine="562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СП 124.13330.2012. «Свод правил. Тепловые сети. Актуализированная редакция СНиП 41-02-2003 (утв. Приказом Минрегиона России от 30.06.2012 г. №280);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contextualSpacing/>
              <w:ind w:firstLine="431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val="sr-Cyrl-CS"/>
              </w:rPr>
              <w:t xml:space="preserve"> Другими действующими руководящими документами.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ind w:right="97" w:firstLine="567"/>
              <w:jc w:val="both"/>
              <w:spacing w:line="276" w:lineRule="auto"/>
              <w:widowControl w:val="off"/>
              <w:rPr>
                <w:bCs/>
                <w:i/>
                <w:sz w:val="24"/>
                <w:szCs w:val="24"/>
                <w:highlight w:val="white"/>
              </w:rPr>
            </w:pPr>
            <w:r>
              <w:rPr>
                <w:bCs/>
                <w:i/>
                <w:sz w:val="24"/>
                <w:szCs w:val="24"/>
                <w:highlight w:val="white"/>
              </w:rPr>
              <w:t xml:space="preserve">В случае</w:t>
            </w:r>
            <w:r>
              <w:rPr>
                <w:bCs/>
                <w:i/>
                <w:sz w:val="24"/>
                <w:szCs w:val="24"/>
                <w:highlight w:val="white"/>
              </w:rPr>
              <w:t xml:space="preserve">,</w:t>
            </w:r>
            <w:r>
              <w:rPr>
                <w:bCs/>
                <w:i/>
                <w:sz w:val="24"/>
                <w:szCs w:val="24"/>
                <w:highlight w:val="white"/>
              </w:rPr>
              <w:t xml:space="preserve">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bCs/>
                <w:i/>
                <w:sz w:val="24"/>
                <w:szCs w:val="24"/>
                <w:highlight w:val="white"/>
              </w:rPr>
            </w:r>
            <w:r>
              <w:rPr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490" w:type="dxa"/>
            <w:textDirection w:val="lrTb"/>
            <w:noWrap w:val="false"/>
          </w:tcPr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</w:t>
            </w:r>
            <w:r>
              <w:rPr>
                <w:sz w:val="24"/>
                <w:szCs w:val="24"/>
                <w:highlight w:val="none"/>
              </w:rPr>
              <w:t xml:space="preserve">омплекс организационно–технических мероприятий, выполняемый при подготовке к ремонту</w:t>
            </w:r>
            <w:r>
              <w:rPr>
                <w:sz w:val="24"/>
                <w:szCs w:val="24"/>
                <w:highlight w:val="white"/>
              </w:rPr>
              <w:t xml:space="preserve">, должен обеспечивать планомерное и качественное выполнение </w:t>
            </w:r>
            <w:r>
              <w:rPr>
                <w:sz w:val="24"/>
                <w:szCs w:val="24"/>
                <w:highlight w:val="white"/>
              </w:rPr>
              <w:t xml:space="preserve">работ в установленные сроки, качество </w:t>
            </w:r>
            <w:r>
              <w:rPr>
                <w:sz w:val="24"/>
                <w:szCs w:val="24"/>
                <w:highlight w:val="white"/>
              </w:rPr>
              <w:t xml:space="preserve">ремонтных работ</w:t>
            </w:r>
            <w:r>
              <w:rPr>
                <w:sz w:val="24"/>
                <w:szCs w:val="24"/>
                <w:highlight w:val="none"/>
              </w:rPr>
              <w:t xml:space="preserve">, оптимальное расход</w:t>
            </w:r>
            <w:r>
              <w:rPr>
                <w:sz w:val="24"/>
                <w:szCs w:val="24"/>
                <w:highlight w:val="none"/>
              </w:rPr>
              <w:t xml:space="preserve">о</w:t>
            </w:r>
            <w:r>
              <w:rPr>
                <w:sz w:val="24"/>
                <w:szCs w:val="24"/>
                <w:highlight w:val="none"/>
              </w:rPr>
              <w:t xml:space="preserve">вание материально-технических и трудовые ресурсов. </w:t>
            </w:r>
            <w:r>
              <w:rPr>
                <w:sz w:val="24"/>
                <w:szCs w:val="24"/>
                <w:highlight w:val="none"/>
              </w:rPr>
              <w:t xml:space="preserve">Подрядчик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материально-техническом обеспечении ремонтных работ.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И</w:t>
            </w:r>
            <w:r>
              <w:rPr>
                <w:sz w:val="24"/>
                <w:szCs w:val="24"/>
                <w:highlight w:val="none"/>
              </w:rPr>
              <w:t xml:space="preserve">зменения объемов работ, предусмотренных ведомостью планируемых работ, оформляются в соответствии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</w:t>
            </w:r>
            <w:r>
              <w:rPr>
                <w:sz w:val="24"/>
                <w:szCs w:val="24"/>
                <w:highlight w:val="none"/>
              </w:rPr>
              <w:t xml:space="preserve">я</w:t>
            </w:r>
            <w:r>
              <w:rPr>
                <w:sz w:val="24"/>
                <w:szCs w:val="24"/>
                <w:highlight w:val="none"/>
              </w:rPr>
              <w:t xml:space="preserve">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</w:t>
            </w:r>
            <w:r>
              <w:rPr>
                <w:sz w:val="24"/>
                <w:szCs w:val="24"/>
                <w:highlight w:val="none"/>
              </w:rPr>
              <w:t xml:space="preserve">а непосредственную эксплуатацию производственного объекта, определяется условиями договора.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 начала ремонта подрядная организация: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обеспечение.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Подрядчик обязан обеспечить присутствие указанных лиц в месте производства Работ в течение всего срока их выполнения</w:t>
            </w:r>
            <w:r>
              <w:rPr>
                <w:sz w:val="24"/>
                <w:szCs w:val="24"/>
                <w:highlight w:val="white"/>
              </w:rPr>
              <w:t xml:space="preserve">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проверяет удостоверения лиц других специальностей на право выполнения работ при ремонте объекта;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проверяет выполнение требований допуска ремонтного персонала, предусмотренного п. 1.2.2 ТТ;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firstLine="709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разрабатывают и предоставляют Заказчику на согласование ППР с указанием </w:t>
            </w:r>
            <w:r>
              <w:rPr>
                <w:bCs/>
                <w:sz w:val="24"/>
                <w:szCs w:val="24"/>
                <w:highlight w:val="white"/>
              </w:rPr>
              <w:t xml:space="preserve">общих методов и технологии работ, организационных вопросов с приложением графика выполнения работ (с указанием сроков выполнения работ, физических объёмов, потребных трудозатрат и материалов).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</w:t>
            </w:r>
            <w:r>
              <w:rPr>
                <w:sz w:val="24"/>
                <w:szCs w:val="24"/>
                <w:highlight w:val="white"/>
              </w:rPr>
              <w:t xml:space="preserve">щ</w:t>
            </w:r>
            <w:r>
              <w:rPr>
                <w:sz w:val="24"/>
                <w:szCs w:val="24"/>
                <w:highlight w:val="white"/>
              </w:rPr>
              <w:t xml:space="preserve">ествляют входной контроль качества применяемых материалов,</w:t>
            </w:r>
            <w:r>
              <w:rPr>
                <w:sz w:val="24"/>
                <w:szCs w:val="24"/>
                <w:highlight w:val="none"/>
              </w:rPr>
              <w:t xml:space="preserve">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</w:t>
            </w:r>
            <w:r>
              <w:rPr>
                <w:sz w:val="24"/>
                <w:szCs w:val="24"/>
                <w:highlight w:val="none"/>
              </w:rPr>
              <w:t xml:space="preserve">ки, приспособлений и инструмента).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Организационно-технические мероприятия по допуску </w:t>
            </w:r>
            <w:r>
              <w:rPr>
                <w:sz w:val="24"/>
                <w:szCs w:val="24"/>
                <w:highlight w:val="white"/>
              </w:rPr>
              <w:t xml:space="preserve">персонала подрядчика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spacing w:before="60" w:line="276" w:lineRule="auto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6490" w:type="dxa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numPr>
                <w:ilvl w:val="0"/>
                <w:numId w:val="18"/>
              </w:numPr>
              <w:ind w:left="0" w:right="0" w:firstLine="567"/>
              <w:jc w:val="both"/>
              <w:spacing w:line="276" w:lineRule="auto"/>
              <w:tabs>
                <w:tab w:val="left" w:pos="406" w:leader="none"/>
                <w:tab w:val="left" w:pos="70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  <w:t xml:space="preserve">Положением о допуске персонала подрядных организаций к </w:t>
            </w:r>
            <w:r>
              <w:rPr>
                <w:bCs/>
                <w:sz w:val="24"/>
                <w:szCs w:val="24"/>
                <w:highlight w:val="white"/>
              </w:rPr>
              <w:t xml:space="preserve">выполнению работ на объектах АО «ДГК» №22</w:t>
            </w:r>
            <w:r>
              <w:rPr>
                <w:bCs/>
                <w:sz w:val="24"/>
                <w:szCs w:val="24"/>
                <w:highlight w:val="white"/>
              </w:rPr>
              <w:t xml:space="preserve">.1-504-2025 (утверждено приказом АО «ДГК» №П-ДГК/795 от 25.09.2025) </w:t>
            </w:r>
            <w:r>
              <w:rPr>
                <w:bCs/>
                <w:sz w:val="24"/>
                <w:szCs w:val="24"/>
                <w:highlight w:val="white"/>
              </w:rPr>
              <w:t xml:space="preserve">(Приложение №5</w:t>
            </w:r>
            <w:r>
              <w:rPr>
                <w:bCs/>
                <w:sz w:val="24"/>
                <w:szCs w:val="24"/>
                <w:highlight w:val="white"/>
              </w:rPr>
              <w:t xml:space="preserve"> к настоящим ТТ).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numPr>
                <w:ilvl w:val="0"/>
                <w:numId w:val="18"/>
              </w:numPr>
              <w:ind w:left="0" w:right="0" w:firstLine="567"/>
              <w:jc w:val="both"/>
              <w:spacing w:line="276" w:lineRule="auto"/>
              <w:tabs>
                <w:tab w:val="left" w:pos="406" w:leader="none"/>
                <w:tab w:val="left" w:pos="709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Geneva"/>
                <w:sz w:val="24"/>
                <w:szCs w:val="24"/>
                <w:highlight w:val="white"/>
                <w:lang w:bidi="ru-RU"/>
              </w:rPr>
              <w:t xml:space="preserve">Инструкцией о пропускном и внутриобъектовом режимах на объектах СП Приморские тепловые сети АО «ДГК»</w:t>
            </w:r>
            <w:r>
              <w:rPr>
                <w:bCs/>
                <w:sz w:val="24"/>
                <w:szCs w:val="24"/>
                <w:highlight w:val="white"/>
              </w:rPr>
              <w:t xml:space="preserve"> (Прилож</w:t>
            </w:r>
            <w:r>
              <w:rPr>
                <w:bCs/>
                <w:sz w:val="24"/>
                <w:szCs w:val="24"/>
                <w:highlight w:val="white"/>
              </w:rPr>
              <w:t xml:space="preserve">ение №5</w:t>
            </w:r>
            <w:r>
              <w:rPr>
                <w:bCs/>
                <w:sz w:val="24"/>
                <w:szCs w:val="24"/>
                <w:highlight w:val="white"/>
              </w:rPr>
              <w:t xml:space="preserve"> к настоящим ТТ); с обязательным оформлением необходимых нарядов-до</w:t>
            </w:r>
            <w:r>
              <w:rPr>
                <w:bCs/>
                <w:sz w:val="24"/>
                <w:szCs w:val="24"/>
                <w:highlight w:val="white"/>
              </w:rPr>
              <w:t xml:space="preserve">пусков</w:t>
            </w:r>
            <w:r>
              <w:rPr>
                <w:bCs/>
                <w:i/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426" w:leader="none"/>
              </w:tabs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4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9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используемым материалам, </w:t>
            </w:r>
            <w:r>
              <w:rPr>
                <w:b/>
                <w:sz w:val="24"/>
                <w:szCs w:val="24"/>
              </w:rPr>
              <w:t xml:space="preserve">контролю качества работ и 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Требования к используемым материально – техническим ресурсам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90" w:type="dxa"/>
            <w:textDirection w:val="lrTb"/>
            <w:noWrap w:val="false"/>
          </w:tcPr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Материалы, необходимые для выполнения работ приобретаются Подрядчиком.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Материалы, приобретаемые Подрядчиком, согласно Приложению №3 к настоящим ТТ, должны быть новыми и ранее не использованными, без повреждений. 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сметной документации, будет применяться эквивалентная продукция, Подрядчик принимает на себя все зат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rFonts w:eastAsia="Times New Roman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textDirection w:val="lrTb"/>
            <w:noWrap w:val="false"/>
          </w:tcPr>
          <w:p>
            <w:pPr>
              <w:spacing w:before="60" w:line="276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качества используемых 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90" w:type="dxa"/>
            <w:textDirection w:val="lrTb"/>
            <w:noWrap w:val="false"/>
          </w:tcPr>
          <w:p>
            <w:pPr>
              <w:pStyle w:val="1002"/>
              <w:ind w:left="0" w:right="0" w:firstLine="567"/>
              <w:jc w:val="both"/>
              <w:spacing w:line="276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П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ри осуществлении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о приемке м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15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качества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490" w:type="dxa"/>
            <w:textDirection w:val="lrTb"/>
            <w:noWrap w:val="false"/>
          </w:tcPr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5" w:right="97" w:firstLine="562"/>
              <w:jc w:val="both"/>
              <w:spacing w:line="276" w:lineRule="auto"/>
              <w:widowControl w:val="off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0"/>
        </w:trPr>
        <w:tc>
          <w:tcPr>
            <w:tcW w:w="680" w:type="dxa"/>
            <w:vAlign w:val="center"/>
            <w:vMerge w:val="restart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44"/>
        </w:trPr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1002"/>
              <w:numPr>
                <w:ilvl w:val="2"/>
                <w:numId w:val="6"/>
              </w:numPr>
              <w:ind w:hanging="1199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Квалификация персонала подрядчика, привлекаемого к выполнению рабо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519" w:type="dxa"/>
            <w:vAlign w:val="center"/>
            <w:textDirection w:val="lrTb"/>
            <w:noWrap w:val="false"/>
          </w:tcPr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должен: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–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</w:r>
            <w:r>
              <w:rPr>
                <w:sz w:val="24"/>
                <w:szCs w:val="24"/>
                <w:highlight w:val="white"/>
              </w:rPr>
              <w:t xml:space="preserve"> располагать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и д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статочным количеством аттестованного персонала, организованного по принципу комплексных специализированных бригад (оформленных в соответствии с Гражданским Кодексом Российской Федерации или привлекаемых по трудовым либо гражданско-правовым договорам, либо </w:t>
            </w:r>
            <w:r>
              <w:rPr>
                <w:sz w:val="24"/>
                <w:szCs w:val="24"/>
                <w:highlight w:val="white"/>
              </w:rPr>
              <w:t xml:space="preserve">планируемых к привлечению, в том числе по договорам субподряда).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</w:t>
            </w:r>
            <w:r>
              <w:rPr>
                <w:sz w:val="24"/>
                <w:szCs w:val="24"/>
                <w:highlight w:val="white"/>
              </w:rPr>
              <w:t xml:space="preserve">о совмещение специальностей)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97" w:firstLine="567"/>
              <w:jc w:val="both"/>
              <w:spacing w:line="276" w:lineRule="auto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 свидетельства (заверенную копию) о готовности организации-заявителя к использованию аттестованной технологии сварки в соответствии приказом Ростехнадзора № 519 от 11.12.2020 (в редакции, введенной в действие приказом Ростехнадзора от 03 февраля 2023 года </w:t>
            </w:r>
            <w:r>
              <w:rPr>
                <w:sz w:val="24"/>
                <w:szCs w:val="24"/>
                <w:highlight w:val="white"/>
              </w:rPr>
              <w:t xml:space="preserve">№ 44.) об утверждении федеральных норм и правил в области промышленной безопасности “Требования к производству сварочных работ на опасных производственных объектах”.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Т</w:t>
            </w:r>
            <w:r>
              <w:rPr>
                <w:b/>
                <w:bCs/>
                <w:sz w:val="24"/>
                <w:szCs w:val="24"/>
              </w:rPr>
              <w:t xml:space="preserve">ребования к безопасности работ и охране труда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left="0" w:firstLine="0"/>
              <w:jc w:val="both"/>
              <w:spacing w:line="276" w:lineRule="auto"/>
              <w:tabs>
                <w:tab w:val="left" w:pos="28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76" w:lineRule="auto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519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СО34.03.201-97 (РД 34.03.201-97) Правила техники безопасности при эксплуатации тепломеханического оборудования электростанций и тепловых сетей;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–</w:t>
              <w:tab/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Правила техники безопасности при эксплуатации тепломеханического об</w:t>
            </w:r>
            <w:r>
              <w:rPr>
                <w:sz w:val="24"/>
                <w:szCs w:val="24"/>
                <w:highlight w:val="white"/>
              </w:rPr>
              <w:t xml:space="preserve">орудования электростанций и тепловых сетей. РД 34.03.201-97 (утв. Минтопэнерго России 03.04.1997 г.) (по состоянию на 03.04.2000 г.) (ред. от 22.02.2000 г.).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tabs>
                <w:tab w:val="left" w:pos="256" w:leader="none"/>
              </w:tabs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</w:t>
            </w:r>
            <w:r>
              <w:rPr>
                <w:i/>
                <w:iCs/>
                <w:sz w:val="24"/>
                <w:szCs w:val="24"/>
              </w:rPr>
              <w:t xml:space="preserve">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eastAsia="Times New Roman"/>
                <w:bCs/>
                <w:sz w:val="24"/>
                <w:szCs w:val="24"/>
              </w:rPr>
            </w:r>
            <w:r>
              <w:rPr>
                <w:rFonts w:eastAsia="Times New Roman"/>
                <w:bCs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90"/>
        </w:trPr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519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6"/>
              </w:num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противопожарного режима в</w:t>
            </w:r>
            <w:r>
              <w:rPr>
                <w:sz w:val="24"/>
                <w:szCs w:val="24"/>
              </w:rPr>
              <w:t xml:space="preserve"> Российской Федерации, утверждены Постановлением Правительства РФ от 16.09.2020 № 1479;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6"/>
              </w:num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6"/>
              </w:numPr>
              <w:ind w:left="0" w:right="0" w:firstLine="567"/>
              <w:jc w:val="both"/>
              <w:spacing w:line="276" w:lineRule="auto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</w:t>
            </w:r>
            <w:r>
              <w:rPr>
                <w:sz w:val="24"/>
                <w:szCs w:val="24"/>
                <w:highlight w:val="white"/>
              </w:rPr>
              <w:t xml:space="preserve">, действующие на предприятии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Персональную ответственность за обеспечение пож</w:t>
            </w:r>
            <w:r>
              <w:rPr>
                <w:sz w:val="24"/>
                <w:szCs w:val="24"/>
                <w:highlight w:val="white"/>
              </w:rPr>
              <w:t xml:space="preserve">арной безопасности несёт руководитель подрядной организации или лицо, его замещающее.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tabs>
                <w:tab w:val="left" w:pos="256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документов </w:t>
            </w:r>
            <w:r>
              <w:rPr>
                <w:i/>
                <w:iCs/>
                <w:sz w:val="24"/>
                <w:szCs w:val="24"/>
              </w:rPr>
              <w:t xml:space="preserve">был отменен в связи с выпуском новой реда</w:t>
            </w:r>
            <w:r>
              <w:rPr>
                <w:i/>
                <w:iCs/>
                <w:sz w:val="24"/>
                <w:szCs w:val="24"/>
              </w:rPr>
              <w:t xml:space="preserve">кции стандарта в процессе проведения закупки и/или исполнения Договора, то необходимо применять нормативный документ, принятый в его развитие 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519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Отходы, строительный мусор д</w:t>
            </w:r>
            <w:r>
              <w:rPr>
                <w:sz w:val="24"/>
                <w:szCs w:val="24"/>
                <w:highlight w:val="white"/>
              </w:rPr>
              <w:t xml:space="preserve">олжны своевременно вывозиться для дальнейшей утилизации.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3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3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3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2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Водный кодекс Российской Федерации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ind w:left="0" w:right="0" w:firstLine="567"/>
              <w:jc w:val="both"/>
              <w:spacing w:line="276" w:lineRule="auto"/>
              <w:tabs>
                <w:tab w:val="left" w:pos="256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519" w:type="dxa"/>
            <w:vMerge w:val="restart"/>
            <w:textDirection w:val="lrTb"/>
            <w:noWrap w:val="false"/>
          </w:tcPr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Организация ремонтной площадки, участков работ</w:t>
            </w:r>
            <w:r>
              <w:rPr>
                <w:sz w:val="24"/>
                <w:szCs w:val="24"/>
                <w:highlight w:val="white"/>
              </w:rPr>
              <w:t xml:space="preserve"> и рабочих мест должна обеспечивать безопасность труда работа</w:t>
            </w:r>
            <w:r>
              <w:rPr>
                <w:sz w:val="24"/>
                <w:szCs w:val="24"/>
                <w:highlight w:val="white"/>
              </w:rPr>
              <w:t xml:space="preserve">ющих на всех этапах выполнения ремонтных работ. Для производства работ в охранной зоне необходимо получить наряд-допуск.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Меры по соблюдению требований охраны труда при выполнении работ обеспечива</w:t>
            </w:r>
            <w:r>
              <w:rPr>
                <w:sz w:val="24"/>
                <w:szCs w:val="24"/>
                <w:highlight w:val="white"/>
              </w:rPr>
              <w:t xml:space="preserve">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по охране труда при</w:t>
            </w:r>
            <w:r>
              <w:rPr>
                <w:sz w:val="24"/>
                <w:szCs w:val="24"/>
                <w:highlight w:val="white"/>
              </w:rPr>
              <w:t xml:space="preserve"> строительстве, реконструкции и ремонте (утверждены приказом Министерства труда от 11.12.2020 № 883н);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</w:t>
            </w:r>
            <w:r>
              <w:rPr>
                <w:sz w:val="24"/>
                <w:szCs w:val="24"/>
                <w:highlight w:val="white"/>
              </w:rPr>
              <w:t xml:space="preserve">ла по охране труда при работе на высоте (утверждены приказом Министерства труда от 16.11.2020 №782н);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ind w:left="0" w:right="0" w:firstLine="567"/>
              <w:jc w:val="both"/>
              <w:spacing w:line="276" w:lineRule="auto"/>
              <w:widowControl w:val="off"/>
              <w:tabs>
                <w:tab w:val="left" w:pos="42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  <w:t xml:space="preserve">-</w:t>
            </w:r>
            <w:r>
              <w:rPr>
                <w:iCs/>
                <w:sz w:val="24"/>
                <w:szCs w:val="24"/>
                <w:highlight w:val="white"/>
              </w:rPr>
              <w:t xml:space="preserve"> 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numPr>
                <w:ilvl w:val="0"/>
                <w:numId w:val="20"/>
              </w:numPr>
              <w:contextualSpacing/>
              <w:ind w:left="0" w:right="0" w:firstLine="567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при погрузо</w:t>
            </w:r>
            <w:r>
              <w:rPr>
                <w:sz w:val="24"/>
                <w:szCs w:val="24"/>
                <w:highlight w:val="white"/>
              </w:rPr>
              <w:t xml:space="preserve">чно-разгрузочных работах и размещении грузов (утв. пр</w:t>
            </w:r>
            <w:r>
              <w:rPr>
                <w:sz w:val="24"/>
                <w:szCs w:val="24"/>
                <w:highlight w:val="white"/>
              </w:rPr>
              <w:t xml:space="preserve">иказом Министерства труда и социальной защиты Российской Федерации от 28.10.2020 №753н)</w:t>
            </w:r>
            <w:r>
              <w:rPr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numPr>
                <w:ilvl w:val="0"/>
                <w:numId w:val="20"/>
              </w:numPr>
              <w:contextualSpacing/>
              <w:ind w:left="0" w:right="0" w:firstLine="567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 Правил по охране труда на автомобильном транспорте (утв. Приказом Министерства труда и социальной защиты Российской Федерации от 09.12.2020 №871н);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contextualSpacing/>
              <w:ind w:left="0" w:right="0" w:firstLine="567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О порядке обучения по охране труда и проверки знаний охраны труда (утв. Постановлением правительства РФ от 24.12.2021г. №2464).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tabs>
                <w:tab w:val="left" w:pos="313" w:leader="none"/>
                <w:tab w:val="left" w:pos="41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</w:t>
            </w:r>
            <w:r>
              <w:rPr>
                <w:i/>
                <w:sz w:val="24"/>
                <w:szCs w:val="24"/>
              </w:rPr>
              <w:t xml:space="preserve">закупки и/или исполнения Договора, то необходимо применять нормативный документ, принятый в его развитие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ind w:left="0" w:right="0" w:firstLine="567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Состояние Объекта </w:t>
            </w:r>
            <w:r>
              <w:rPr>
                <w:sz w:val="24"/>
                <w:szCs w:val="24"/>
              </w:rPr>
              <w:t xml:space="preserve">после ремонта, </w:t>
            </w:r>
            <w:r>
              <w:rPr>
                <w:sz w:val="24"/>
                <w:szCs w:val="24"/>
                <w:lang w:eastAsia="en-US"/>
              </w:rPr>
              <w:t xml:space="preserve">указанных в таблице 1 ТТ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 должно соответствовать требованиям нормативно-технической документации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 xml:space="preserve">указанной в п.1.1.1</w:t>
            </w: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</w:t>
            </w:r>
            <w:r>
              <w:rPr>
                <w:sz w:val="24"/>
                <w:szCs w:val="24"/>
              </w:rPr>
              <w:t xml:space="preserve">Д</w:t>
            </w:r>
            <w:r>
              <w:rPr>
                <w:sz w:val="24"/>
                <w:szCs w:val="24"/>
              </w:rPr>
              <w:t xml:space="preserve">оговора подряда (в том числе в разделе № 4), который включен в состав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Документации о закупке.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1"/>
                <w:numId w:val="6"/>
              </w:numPr>
              <w:ind w:left="-117" w:firstLine="142"/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Представить Зак</w:t>
            </w:r>
            <w:r>
              <w:rPr>
                <w:sz w:val="24"/>
                <w:szCs w:val="24"/>
              </w:rPr>
              <w:t xml:space="preserve">азчику с актами выполненных работ (в 3 (трёх) экземплярах, а также электронные версии Акта КС-2 и Справки КС-3 в формате *gsfx ПК «ГРАНД Смета» на </w:t>
            </w:r>
            <w:r>
              <w:rPr>
                <w:sz w:val="24"/>
                <w:szCs w:val="24"/>
              </w:rPr>
              <w:t xml:space="preserve">цифровом носителе) исполнительную документацию в электронном виде (в формате *.pdf) и на бумажном носителе в </w:t>
            </w:r>
            <w:r>
              <w:rPr>
                <w:sz w:val="24"/>
                <w:szCs w:val="24"/>
              </w:rPr>
              <w:t xml:space="preserve">3-х экземплярах.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rFonts w:eastAsia="Iosevka Term SS03"/>
                <w:color w:val="000000" w:themeColor="text1"/>
                <w:sz w:val="24"/>
                <w:szCs w:val="24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4"/>
              </w:num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rFonts w:eastAsia="Iosevka Term SS03"/>
                <w:color w:val="000000" w:themeColor="text1"/>
                <w:sz w:val="24"/>
                <w:szCs w:val="24"/>
                <w:highlight w:val="white"/>
              </w:rPr>
              <w:t xml:space="preserve">Приказом Министерства строительства и ЖКХ №344 от 16.05.2023 «С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остав и порядок ведения исполнительной документации при строительстве, реконструкции, капитальном ремонте о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бъектов капитального строительства»</w:t>
            </w:r>
            <w:r>
              <w:rPr>
                <w:rFonts w:eastAsia="Iosevka Term SS03"/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2"/>
              <w:numPr>
                <w:ilvl w:val="0"/>
                <w:numId w:val="24"/>
              </w:numPr>
              <w:ind w:left="0" w:right="0" w:firstLine="567"/>
              <w:jc w:val="both"/>
              <w:spacing w:line="276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rFonts w:eastAsia="Iosevka Term SS03"/>
                <w:color w:val="000000" w:themeColor="text1"/>
                <w:sz w:val="24"/>
                <w:szCs w:val="24"/>
                <w:highlight w:val="white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eastAsia="Iosevka Term SS03"/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  <w:t xml:space="preserve">(Приложение №</w:t>
            </w:r>
            <w:r>
              <w:rPr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Cs/>
                <w:sz w:val="24"/>
                <w:szCs w:val="24"/>
                <w:highlight w:val="white"/>
              </w:rPr>
              <w:t xml:space="preserve"> к  настоящим ТТ)</w:t>
            </w:r>
            <w:r>
              <w:rPr>
                <w:rFonts w:eastAsia="Iosevka Term SS03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pacing w:val="-6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</w:t>
            </w:r>
            <w:r>
              <w:rPr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  <w:t xml:space="preserve">          </w:t>
            </w:r>
            <w:r>
              <w:rPr>
                <w:spacing w:val="-6"/>
                <w:sz w:val="24"/>
                <w:szCs w:val="24"/>
                <w:highlight w:val="white"/>
              </w:rPr>
              <w:t xml:space="preserve">         </w:t>
            </w:r>
            <w:r>
              <w:rPr>
                <w:spacing w:val="-6"/>
                <w:sz w:val="24"/>
                <w:szCs w:val="24"/>
                <w:highlight w:val="white"/>
              </w:rPr>
            </w:r>
            <w:r>
              <w:rPr>
                <w:spacing w:val="-6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исполнительные схемы и профили инженерных сетей и подземных сооружений;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общий журнал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пециальные журналы работ (соответствующие видам выполняемых работ, журналы входного и операционного контроля качества);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акты освидетельствования скрытых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отчетные документы, подтверждающие утилизацию мусора, образовавшегося при производстве работ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комиссионные акты входного контроля закупаемых Подрядчиком материалов (в произвольной форме);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 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документы, заверенные бухгалтером: копии платежных поручений, счета к ним и счета-фактуры, подтверждающие факт оплаты материалов, закупаемые Подря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дчиком для использования в процессе ремонта;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акт о приемке объекта;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6"/>
              <w:ind w:firstLine="709"/>
              <w:jc w:val="both"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 ведомость выполненных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142" w:right="0" w:firstLine="0"/>
              <w:jc w:val="both"/>
              <w:spacing w:line="276" w:lineRule="auto"/>
              <w:rPr>
                <w:spacing w:val="-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другие документы по усмотрению Сторон с учетом специфики Работ.      </w:t>
            </w:r>
            <w:r>
              <w:rPr>
                <w:spacing w:val="-6"/>
                <w:sz w:val="24"/>
                <w:szCs w:val="24"/>
                <w:highlight w:val="white"/>
              </w:rPr>
              <w:t xml:space="preserve"> </w:t>
            </w:r>
            <w:r>
              <w:rPr>
                <w:spacing w:val="-6"/>
                <w:sz w:val="24"/>
                <w:szCs w:val="24"/>
                <w:highlight w:val="white"/>
              </w:rPr>
            </w:r>
            <w:r>
              <w:rPr>
                <w:spacing w:val="-6"/>
                <w:sz w:val="24"/>
                <w:szCs w:val="24"/>
                <w:highlight w:val="white"/>
              </w:rPr>
            </w:r>
          </w:p>
          <w:p>
            <w:pPr>
              <w:ind w:left="0" w:right="0" w:firstLine="567"/>
              <w:jc w:val="both"/>
              <w:spacing w:line="276" w:lineRule="auto"/>
              <w:rPr>
                <w:spacing w:val="-6"/>
                <w:sz w:val="24"/>
                <w:szCs w:val="24"/>
                <w:highlight w:val="white"/>
              </w:rPr>
            </w:pPr>
            <w:r>
              <w:rPr>
                <w:spacing w:val="-6"/>
                <w:sz w:val="24"/>
                <w:szCs w:val="24"/>
                <w:highlight w:val="white"/>
              </w:rPr>
              <w:t xml:space="preserve">      Более подробно требования к оформлению документации  указаны в проекте договора подряда (в том числе в разделе № 2,4), который включен в состав Документации о закуп</w:t>
            </w:r>
            <w:r>
              <w:rPr>
                <w:spacing w:val="-6"/>
                <w:sz w:val="24"/>
                <w:szCs w:val="24"/>
                <w:highlight w:val="white"/>
              </w:rPr>
              <w:t xml:space="preserve">ке.   </w:t>
            </w:r>
            <w:r>
              <w:rPr>
                <w:spacing w:val="-6"/>
                <w:sz w:val="24"/>
                <w:szCs w:val="24"/>
                <w:highlight w:val="white"/>
              </w:rPr>
            </w:r>
            <w:r>
              <w:rPr>
                <w:spacing w:val="-6"/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spacing w:before="4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</w:t>
            </w:r>
            <w:r>
              <w:rPr>
                <w:b/>
                <w:sz w:val="24"/>
                <w:szCs w:val="24"/>
              </w:rPr>
              <w:t xml:space="preserve">ТТ</w:t>
            </w:r>
            <w:r>
              <w:rPr>
                <w:b/>
                <w:sz w:val="24"/>
                <w:szCs w:val="24"/>
              </w:rPr>
              <w:t xml:space="preserve">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before="40"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i/>
                <w:iCs/>
                <w:sz w:val="24"/>
                <w:szCs w:val="24"/>
              </w:rPr>
              <w:t xml:space="preserve">одробно указаны в проекте Договора подряда </w:t>
            </w:r>
            <w:r>
              <w:rPr>
                <w:i/>
                <w:iCs/>
                <w:sz w:val="24"/>
                <w:szCs w:val="24"/>
              </w:rPr>
              <w:t xml:space="preserve">в том числе в разделе №2, Техническом задании), который включен в состав Документации о закупке.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jc w:val="both"/>
              <w:spacing w:before="20" w:line="276" w:lineRule="auto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rFonts w:eastAsia="Courier New"/>
                <w:i/>
                <w:color w:val="000000"/>
                <w:sz w:val="24"/>
                <w:szCs w:val="24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4"/>
                <w:szCs w:val="24"/>
                <w:lang w:bidi="ru-RU"/>
              </w:rPr>
              <w:t xml:space="preserve">(в том числе в разделах №6 и №7</w:t>
            </w:r>
            <w:r>
              <w:rPr>
                <w:rFonts w:eastAsia="Courier New"/>
                <w:i/>
                <w:color w:val="000000"/>
                <w:sz w:val="24"/>
                <w:szCs w:val="24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1002"/>
              <w:numPr>
                <w:ilvl w:val="0"/>
                <w:numId w:val="6"/>
              </w:numPr>
              <w:jc w:val="center"/>
              <w:spacing w:before="60" w:after="6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8645" w:type="dxa"/>
            <w:textDirection w:val="lrTb"/>
            <w:noWrap w:val="false"/>
          </w:tcPr>
          <w:p>
            <w:pPr>
              <w:keepNext/>
              <w:spacing w:before="60" w:after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 </w:t>
            </w:r>
            <w:r>
              <w:rPr>
                <w:sz w:val="24"/>
                <w:szCs w:val="24"/>
              </w:rPr>
              <w:t xml:space="preserve">подробно указаны в проекте Д</w:t>
            </w:r>
            <w:r>
              <w:rPr>
                <w:sz w:val="24"/>
                <w:szCs w:val="24"/>
              </w:rPr>
              <w:t xml:space="preserve">оговора подряда (в том числе в разделе № 2), который включен в состав Документации о закупке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40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after="160" w:line="259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ind w:left="0" w:right="0" w:firstLine="992"/>
        <w:jc w:val="center"/>
        <w:keepLines/>
        <w:spacing w:line="276" w:lineRule="auto"/>
        <w:tabs>
          <w:tab w:val="left" w:pos="425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4" w:name="_Toc53393312"/>
      <w:r>
        <w:rPr>
          <w:sz w:val="24"/>
          <w:szCs w:val="24"/>
        </w:rPr>
      </w:r>
      <w:bookmarkStart w:id="25" w:name="_Toc54646411"/>
      <w:r>
        <w:rPr>
          <w:sz w:val="24"/>
          <w:szCs w:val="24"/>
        </w:rPr>
      </w:r>
      <w:bookmarkStart w:id="26" w:name="_Toc46743519"/>
      <w:r>
        <w:rPr>
          <w:sz w:val="24"/>
          <w:szCs w:val="24"/>
        </w:rPr>
      </w:r>
      <w:bookmarkStart w:id="27" w:name="_Toc51339699"/>
      <w:r>
        <w:rPr>
          <w:sz w:val="24"/>
          <w:szCs w:val="24"/>
        </w:rPr>
        <w:t xml:space="preserve">Требования к документации по ценообразованию</w:t>
      </w:r>
      <w:bookmarkEnd w:id="24"/>
      <w:r>
        <w:rPr>
          <w:sz w:val="24"/>
          <w:szCs w:val="24"/>
        </w:rPr>
        <w:t xml:space="preserve"> на этапе закупки</w:t>
      </w:r>
      <w:bookmarkEnd w:id="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ind w:left="0" w:right="0" w:firstLine="992"/>
        <w:jc w:val="both"/>
        <w:spacing w:line="276" w:lineRule="auto"/>
        <w:tabs>
          <w:tab w:val="left" w:pos="425" w:leader="none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</w:t>
      </w:r>
      <w:r>
        <w:rPr>
          <w:b w:val="0"/>
          <w:bCs w:val="0"/>
          <w:iCs/>
          <w:sz w:val="24"/>
          <w:szCs w:val="24"/>
        </w:rPr>
        <w:t xml:space="preserve">денной в Документации о закупке</w:t>
      </w:r>
      <w:r>
        <w:rPr>
          <w:b w:val="0"/>
          <w:bCs w:val="0"/>
          <w:iCs/>
          <w:sz w:val="24"/>
          <w:szCs w:val="24"/>
        </w:rPr>
        <w:t xml:space="preserve"> (с указанием понижающего коэффициента).</w:t>
      </w:r>
      <w:r>
        <w:rPr>
          <w:b w:val="0"/>
          <w:bCs w:val="0"/>
          <w:iCs/>
          <w:sz w:val="24"/>
          <w:szCs w:val="24"/>
        </w:rPr>
      </w:r>
      <w:r>
        <w:rPr>
          <w:b w:val="0"/>
          <w:bCs w:val="0"/>
          <w:iCs/>
          <w:sz w:val="24"/>
          <w:szCs w:val="24"/>
        </w:rPr>
      </w:r>
    </w:p>
    <w:p>
      <w:pPr>
        <w:pStyle w:val="803"/>
        <w:numPr>
          <w:ilvl w:val="0"/>
          <w:numId w:val="0"/>
        </w:numPr>
        <w:ind w:left="0" w:firstLine="708"/>
        <w:jc w:val="both"/>
        <w:rPr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Стоимость предложений участников определяется по формуле: </w:t>
      </w:r>
      <w:r>
        <w:rPr>
          <w:i w:val="0"/>
          <w:iCs w:val="0"/>
          <w:sz w:val="24"/>
          <w:szCs w:val="24"/>
          <w:highlight w:val="white"/>
        </w:rPr>
        <w:t xml:space="preserve">P=N*k,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где P – стоимость предложения участника;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N – начальная (максимальная) цена договора</w:t>
      </w:r>
      <w:r>
        <w:rPr>
          <w:i w:val="0"/>
          <w:iCs w:val="0"/>
          <w:sz w:val="24"/>
          <w:szCs w:val="24"/>
          <w:highlight w:val="white"/>
        </w:rPr>
        <w:t xml:space="preserve"> (цена лота)</w:t>
      </w:r>
      <w:r>
        <w:rPr>
          <w:i w:val="0"/>
          <w:iCs w:val="0"/>
          <w:sz w:val="24"/>
          <w:szCs w:val="24"/>
          <w:highlight w:val="white"/>
        </w:rPr>
        <w:t xml:space="preserve">, определенная в соответствии со сметной документацией Заказчика, приведенной в приложении №4 к настоящим Техническим требованиям;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0"/>
        </w:numPr>
        <w:ind w:left="0" w:right="0" w:firstLine="0"/>
        <w:jc w:val="both"/>
        <w:spacing w:before="0" w:line="240" w:lineRule="auto"/>
        <w:tabs>
          <w:tab w:val="left" w:pos="567" w:leader="none"/>
        </w:tabs>
        <w:rPr>
          <w:b w:val="0"/>
          <w:bCs w:val="0"/>
          <w:iCs/>
          <w:sz w:val="24"/>
          <w:szCs w:val="24"/>
          <w:highlight w:val="white"/>
        </w:rPr>
      </w:pPr>
      <w:r>
        <w:rPr>
          <w:bCs w:val="0"/>
          <w:i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k – </w:t>
      </w:r>
      <w:r>
        <w:rPr>
          <w:i w:val="0"/>
          <w:iCs w:val="0"/>
          <w:sz w:val="24"/>
          <w:szCs w:val="24"/>
          <w:highlight w:val="white"/>
        </w:rPr>
        <w:t xml:space="preserve">понижающий коэффициент, заявленный участником </w:t>
      </w:r>
      <w:r>
        <w:rPr>
          <w:i w:val="0"/>
          <w:iCs w:val="0"/>
          <w:sz w:val="24"/>
          <w:szCs w:val="24"/>
          <w:highlight w:val="whit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i w:val="0"/>
          <w:i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iCs/>
          <w:sz w:val="24"/>
          <w:szCs w:val="24"/>
          <w:highlight w:val="white"/>
        </w:rPr>
      </w:r>
      <w:r>
        <w:rPr>
          <w:b w:val="0"/>
          <w:bCs w:val="0"/>
          <w:iCs/>
          <w:sz w:val="24"/>
          <w:szCs w:val="24"/>
          <w:highlight w:val="whit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ind w:left="0" w:right="0" w:firstLine="992"/>
        <w:jc w:val="both"/>
        <w:spacing w:line="276" w:lineRule="auto"/>
        <w:tabs>
          <w:tab w:val="left" w:pos="425" w:leader="none"/>
        </w:tabs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Дополнительные документы по ценообразованию (сметная документация) в состав заявки Участника не включаются».</w:t>
      </w: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</w:p>
    <w:p>
      <w:pPr>
        <w:pStyle w:val="803"/>
        <w:numPr>
          <w:ilvl w:val="0"/>
          <w:numId w:val="0"/>
        </w:numPr>
        <w:ind w:left="0" w:right="0" w:firstLine="992"/>
        <w:keepLines/>
        <w:spacing w:line="276" w:lineRule="auto"/>
        <w:tabs>
          <w:tab w:val="left" w:pos="425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803"/>
        <w:ind w:left="0" w:right="0" w:firstLine="992"/>
        <w:jc w:val="center"/>
        <w:keepLines/>
        <w:spacing w:line="276" w:lineRule="auto"/>
        <w:tabs>
          <w:tab w:val="left" w:pos="425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8" w:name="_Toc54646412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0"/>
          <w:numId w:val="0"/>
        </w:numPr>
        <w:ind w:left="0" w:right="0" w:firstLine="992"/>
        <w:keepLines/>
        <w:spacing w:line="276" w:lineRule="auto"/>
        <w:tabs>
          <w:tab w:val="left" w:pos="425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806"/>
        <w:ind w:left="0" w:right="0" w:firstLine="709"/>
        <w:jc w:val="both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4"/>
          <w:szCs w:val="24"/>
        </w:rPr>
      </w:r>
      <w:r>
        <w:rPr>
          <w:b w:val="0"/>
          <w:bCs w:val="0"/>
          <w:iCs/>
          <w:sz w:val="24"/>
          <w:szCs w:val="24"/>
        </w:rPr>
      </w:r>
    </w:p>
    <w:p>
      <w:pPr>
        <w:pStyle w:val="806"/>
        <w:numPr>
          <w:ilvl w:val="0"/>
          <w:numId w:val="0"/>
        </w:numPr>
        <w:ind w:left="0" w:right="0" w:firstLine="709"/>
        <w:jc w:val="both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4.1.1. Сметная документация разработана З</w:t>
      </w:r>
      <w:r>
        <w:rPr>
          <w:b w:val="0"/>
          <w:bCs w:val="0"/>
          <w:iCs/>
          <w:sz w:val="24"/>
          <w:szCs w:val="24"/>
        </w:rPr>
        <w:t xml:space="preserve">аказчиком в рамках определения начальной (максимальной) цены договора в соответствии с требованиями, указанными в приложении №1 к настоящим ТТ, и включается в состав договора с применением понижающего коэффициента, указанного в заявке Участника, с которым принято ре</w:t>
      </w:r>
      <w:r>
        <w:rPr>
          <w:b w:val="0"/>
          <w:bCs w:val="0"/>
          <w:iCs/>
          <w:sz w:val="24"/>
          <w:szCs w:val="24"/>
        </w:rPr>
        <w:t xml:space="preserve">шение заключить договор. Понижающий коэффициент начисляется в сводном сметном расчете единым индексом в итогах (после начисления лимитированных затрат).</w:t>
      </w:r>
      <w:r>
        <w:rPr>
          <w:b w:val="0"/>
          <w:bCs w:val="0"/>
          <w:iCs/>
          <w:sz w:val="24"/>
          <w:szCs w:val="24"/>
        </w:rPr>
      </w:r>
      <w:r>
        <w:rPr>
          <w:b w:val="0"/>
          <w:bCs w:val="0"/>
          <w:iCs/>
          <w:sz w:val="24"/>
          <w:szCs w:val="24"/>
        </w:rPr>
      </w:r>
    </w:p>
    <w:p>
      <w:pPr>
        <w:pStyle w:val="806"/>
        <w:numPr>
          <w:ilvl w:val="0"/>
          <w:numId w:val="0"/>
        </w:numPr>
        <w:ind w:left="0" w:right="0" w:firstLine="709"/>
        <w:jc w:val="both"/>
        <w:rPr>
          <w:b w:val="0"/>
          <w:bCs w:val="0"/>
          <w:iCs/>
          <w:sz w:val="24"/>
          <w:szCs w:val="24"/>
          <w:highlight w:val="white"/>
        </w:rPr>
      </w:pPr>
      <w:r>
        <w:rPr>
          <w:b w:val="0"/>
          <w:bCs w:val="0"/>
          <w:iCs/>
          <w:sz w:val="24"/>
          <w:szCs w:val="24"/>
          <w:highlight w:val="none"/>
        </w:rPr>
        <w:t xml:space="preserve">4.1.2. </w:t>
      </w:r>
      <w:r>
        <w:rPr>
          <w:b w:val="0"/>
          <w:bCs w:val="0"/>
          <w:iCs/>
          <w:sz w:val="24"/>
          <w:szCs w:val="24"/>
          <w:highlight w:val="white"/>
        </w:rPr>
        <w:t xml:space="preserve">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b w:val="0"/>
          <w:bCs w:val="0"/>
          <w:iCs/>
          <w:sz w:val="24"/>
          <w:szCs w:val="24"/>
          <w:highlight w:val="white"/>
        </w:rPr>
      </w:r>
      <w:r>
        <w:rPr>
          <w:b w:val="0"/>
          <w:bCs w:val="0"/>
          <w:iCs/>
          <w:sz w:val="24"/>
          <w:szCs w:val="24"/>
          <w:highlight w:val="white"/>
        </w:rPr>
      </w:r>
    </w:p>
    <w:p>
      <w:pPr>
        <w:ind w:left="0" w:right="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992"/>
        <w:spacing w:line="276" w:lineRule="auto"/>
        <w:tabs>
          <w:tab w:val="left" w:pos="42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0"/>
          <w:numId w:val="0"/>
        </w:numPr>
        <w:ind w:left="0" w:right="0" w:firstLine="992"/>
        <w:jc w:val="center"/>
        <w:keepLines/>
        <w:spacing w:line="276" w:lineRule="auto"/>
        <w:tabs>
          <w:tab w:val="left" w:pos="425" w:leader="none"/>
        </w:tabs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5. Приложения</w:t>
      </w:r>
      <w:bookmarkEnd w:id="26"/>
      <w:r>
        <w:rPr>
          <w:sz w:val="24"/>
          <w:szCs w:val="24"/>
        </w:rPr>
      </w:r>
      <w:bookmarkEnd w:id="27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1 - </w:t>
      </w:r>
      <w:r>
        <w:rPr>
          <w:sz w:val="24"/>
        </w:rPr>
        <w:t xml:space="preserve">Требования к оформлению и составлению документации по ценообразованию.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2</w:t>
      </w:r>
      <w:r>
        <w:rPr>
          <w:bCs/>
          <w:sz w:val="24"/>
          <w:szCs w:val="24"/>
        </w:rPr>
        <w:t xml:space="preserve"> - Ведомость объемов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 w:line="276" w:lineRule="auto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 - Ведомость </w:t>
      </w:r>
      <w:r>
        <w:rPr>
          <w:bCs/>
          <w:sz w:val="24"/>
          <w:szCs w:val="24"/>
          <w:highlight w:val="white"/>
        </w:rPr>
        <w:t xml:space="preserve">материалов Подрядчика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after="120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4 – Локальный сметный расчет.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jc w:val="both"/>
        <w:spacing w:after="120" w:line="276" w:lineRule="auto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5</w:t>
      </w:r>
      <w:r>
        <w:rPr>
          <w:bCs/>
          <w:sz w:val="24"/>
          <w:szCs w:val="24"/>
          <w:highlight w:val="white"/>
        </w:rPr>
        <w:t xml:space="preserve"> – </w:t>
      </w:r>
      <w:r>
        <w:rPr>
          <w:bCs/>
          <w:sz w:val="24"/>
          <w:szCs w:val="24"/>
          <w:highlight w:val="white"/>
        </w:rPr>
        <w:t xml:space="preserve">ЛНА.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after="120" w:line="276" w:lineRule="auto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</w:t>
      </w:r>
      <w:r>
        <w:rPr>
          <w:bCs/>
          <w:sz w:val="24"/>
          <w:szCs w:val="24"/>
          <w:highlight w:val="white"/>
        </w:rPr>
        <w:t xml:space="preserve">жение №6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РП 4011-07-26ТС.АС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680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Calibri Light (Заголовки)">
    <w:panose1 w:val="020F0502020204030204"/>
  </w:font>
  <w:font w:name="Calibri">
    <w:panose1 w:val="020F0502020204030204"/>
  </w:font>
  <w:font w:name="Arial">
    <w:panose1 w:val="020B0604020202020204"/>
  </w:font>
  <w:font w:name="Iosevka Term SS03">
    <w:panose1 w:val="020005090300000000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15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9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99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14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9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100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80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0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05"/>
      <w:isLgl w:val="false"/>
      <w:suff w:val="tab"/>
      <w:lvlText w:val="%1.%2.%3."/>
      <w:lvlJc w:val="left"/>
      <w:pPr>
        <w:ind w:left="135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80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0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05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3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9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56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1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1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76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15"/>
  </w:num>
  <w:num w:numId="13">
    <w:abstractNumId w:val="16"/>
  </w:num>
  <w:num w:numId="14">
    <w:abstractNumId w:val="8"/>
  </w:num>
  <w:num w:numId="15">
    <w:abstractNumId w:val="3"/>
  </w:num>
  <w:num w:numId="16">
    <w:abstractNumId w:val="13"/>
  </w:num>
  <w:num w:numId="17">
    <w:abstractNumId w:val="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03">
    <w:name w:val="Heading 1"/>
    <w:basedOn w:val="805"/>
    <w:next w:val="802"/>
    <w:link w:val="996"/>
    <w:qFormat/>
    <w:pPr>
      <w:numPr>
        <w:ilvl w:val="0"/>
      </w:numPr>
      <w:outlineLvl w:val="0"/>
    </w:pPr>
    <w:rPr>
      <w:sz w:val="28"/>
      <w:szCs w:val="28"/>
    </w:rPr>
  </w:style>
  <w:style w:type="paragraph" w:styleId="804">
    <w:name w:val="Heading 2"/>
    <w:basedOn w:val="802"/>
    <w:next w:val="802"/>
    <w:link w:val="8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5">
    <w:name w:val="Heading 3"/>
    <w:basedOn w:val="802"/>
    <w:next w:val="802"/>
    <w:link w:val="997"/>
    <w:qFormat/>
    <w:pPr>
      <w:numPr>
        <w:ilvl w:val="2"/>
        <w:numId w:val="1"/>
      </w:numPr>
      <w:ind w:left="1224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06">
    <w:name w:val="Heading 4"/>
    <w:basedOn w:val="805"/>
    <w:next w:val="802"/>
    <w:link w:val="998"/>
    <w:qFormat/>
    <w:pPr>
      <w:numPr>
        <w:ilvl w:val="1"/>
      </w:numPr>
      <w:outlineLvl w:val="3"/>
    </w:pPr>
    <w:rPr>
      <w:bCs/>
    </w:rPr>
  </w:style>
  <w:style w:type="paragraph" w:styleId="807">
    <w:name w:val="Heading 5"/>
    <w:basedOn w:val="802"/>
    <w:next w:val="802"/>
    <w:link w:val="8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8">
    <w:name w:val="Heading 6"/>
    <w:basedOn w:val="802"/>
    <w:next w:val="802"/>
    <w:link w:val="8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9">
    <w:name w:val="Heading 7"/>
    <w:basedOn w:val="802"/>
    <w:next w:val="802"/>
    <w:link w:val="8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0">
    <w:name w:val="Heading 8"/>
    <w:basedOn w:val="802"/>
    <w:next w:val="802"/>
    <w:link w:val="8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1">
    <w:name w:val="Heading 9"/>
    <w:basedOn w:val="802"/>
    <w:next w:val="802"/>
    <w:link w:val="8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character" w:styleId="815" w:customStyle="1">
    <w:name w:val="Heading 2 Char"/>
    <w:basedOn w:val="812"/>
    <w:uiPriority w:val="9"/>
    <w:rPr>
      <w:rFonts w:ascii="Arial" w:hAnsi="Arial" w:eastAsia="Arial" w:cs="Arial"/>
      <w:sz w:val="34"/>
    </w:rPr>
  </w:style>
  <w:style w:type="character" w:styleId="816" w:customStyle="1">
    <w:name w:val="Heading 5 Char"/>
    <w:basedOn w:val="812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12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12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12"/>
    <w:uiPriority w:val="10"/>
    <w:rPr>
      <w:sz w:val="48"/>
      <w:szCs w:val="48"/>
    </w:rPr>
  </w:style>
  <w:style w:type="character" w:styleId="822" w:customStyle="1">
    <w:name w:val="Subtitle Char"/>
    <w:basedOn w:val="812"/>
    <w:uiPriority w:val="11"/>
    <w:rPr>
      <w:sz w:val="24"/>
      <w:szCs w:val="24"/>
    </w:rPr>
  </w:style>
  <w:style w:type="character" w:styleId="823" w:customStyle="1">
    <w:name w:val="Quote Char"/>
    <w:uiPriority w:val="29"/>
    <w:rPr>
      <w:i/>
    </w:rPr>
  </w:style>
  <w:style w:type="character" w:styleId="824" w:customStyle="1">
    <w:name w:val="Intense Quote Char"/>
    <w:uiPriority w:val="30"/>
    <w:rPr>
      <w:i/>
    </w:rPr>
  </w:style>
  <w:style w:type="character" w:styleId="825" w:customStyle="1">
    <w:name w:val="Footnote Text Char"/>
    <w:uiPriority w:val="99"/>
    <w:rPr>
      <w:sz w:val="18"/>
    </w:rPr>
  </w:style>
  <w:style w:type="character" w:styleId="826" w:customStyle="1">
    <w:name w:val="Endnote Text Char"/>
    <w:uiPriority w:val="99"/>
    <w:rPr>
      <w:sz w:val="20"/>
    </w:rPr>
  </w:style>
  <w:style w:type="character" w:styleId="827" w:customStyle="1">
    <w:name w:val="Heading 1 Char"/>
    <w:basedOn w:val="812"/>
    <w:uiPriority w:val="9"/>
    <w:rPr>
      <w:rFonts w:ascii="Arial" w:hAnsi="Arial" w:eastAsia="Arial" w:cs="Arial"/>
      <w:sz w:val="40"/>
      <w:szCs w:val="40"/>
    </w:rPr>
  </w:style>
  <w:style w:type="character" w:styleId="828" w:customStyle="1">
    <w:name w:val="Заголовок 2 Знак"/>
    <w:basedOn w:val="812"/>
    <w:link w:val="804"/>
    <w:uiPriority w:val="9"/>
    <w:rPr>
      <w:rFonts w:ascii="Arial" w:hAnsi="Arial" w:eastAsia="Arial" w:cs="Arial"/>
      <w:sz w:val="34"/>
    </w:rPr>
  </w:style>
  <w:style w:type="character" w:styleId="829" w:customStyle="1">
    <w:name w:val="Heading 3 Char"/>
    <w:basedOn w:val="812"/>
    <w:uiPriority w:val="9"/>
    <w:rPr>
      <w:rFonts w:ascii="Arial" w:hAnsi="Arial" w:eastAsia="Arial" w:cs="Arial"/>
      <w:sz w:val="30"/>
      <w:szCs w:val="30"/>
    </w:rPr>
  </w:style>
  <w:style w:type="character" w:styleId="830" w:customStyle="1">
    <w:name w:val="Heading 4 Char"/>
    <w:basedOn w:val="812"/>
    <w:uiPriority w:val="9"/>
    <w:rPr>
      <w:rFonts w:ascii="Arial" w:hAnsi="Arial" w:eastAsia="Arial" w:cs="Arial"/>
      <w:b/>
      <w:bCs/>
      <w:sz w:val="26"/>
      <w:szCs w:val="26"/>
    </w:rPr>
  </w:style>
  <w:style w:type="character" w:styleId="831" w:customStyle="1">
    <w:name w:val="Заголовок 5 Знак"/>
    <w:basedOn w:val="812"/>
    <w:link w:val="807"/>
    <w:uiPriority w:val="9"/>
    <w:rPr>
      <w:rFonts w:ascii="Arial" w:hAnsi="Arial" w:eastAsia="Arial" w:cs="Arial"/>
      <w:b/>
      <w:bCs/>
      <w:sz w:val="24"/>
      <w:szCs w:val="24"/>
    </w:rPr>
  </w:style>
  <w:style w:type="character" w:styleId="832" w:customStyle="1">
    <w:name w:val="Заголовок 6 Знак"/>
    <w:basedOn w:val="812"/>
    <w:link w:val="808"/>
    <w:uiPriority w:val="9"/>
    <w:rPr>
      <w:rFonts w:ascii="Arial" w:hAnsi="Arial" w:eastAsia="Arial" w:cs="Arial"/>
      <w:b/>
      <w:bCs/>
      <w:sz w:val="22"/>
      <w:szCs w:val="22"/>
    </w:rPr>
  </w:style>
  <w:style w:type="character" w:styleId="833" w:customStyle="1">
    <w:name w:val="Заголовок 7 Знак"/>
    <w:basedOn w:val="812"/>
    <w:link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4" w:customStyle="1">
    <w:name w:val="Заголовок 8 Знак"/>
    <w:basedOn w:val="812"/>
    <w:link w:val="810"/>
    <w:uiPriority w:val="9"/>
    <w:rPr>
      <w:rFonts w:ascii="Arial" w:hAnsi="Arial" w:eastAsia="Arial" w:cs="Arial"/>
      <w:i/>
      <w:iCs/>
      <w:sz w:val="22"/>
      <w:szCs w:val="22"/>
    </w:rPr>
  </w:style>
  <w:style w:type="character" w:styleId="835" w:customStyle="1">
    <w:name w:val="Заголовок 9 Знак"/>
    <w:basedOn w:val="812"/>
    <w:link w:val="811"/>
    <w:uiPriority w:val="9"/>
    <w:rPr>
      <w:rFonts w:ascii="Arial" w:hAnsi="Arial" w:eastAsia="Arial" w:cs="Arial"/>
      <w:i/>
      <w:iCs/>
      <w:sz w:val="21"/>
      <w:szCs w:val="21"/>
    </w:rPr>
  </w:style>
  <w:style w:type="paragraph" w:styleId="836">
    <w:name w:val="No Spacing"/>
    <w:uiPriority w:val="1"/>
    <w:qFormat/>
    <w:pPr>
      <w:spacing w:after="0" w:line="240" w:lineRule="auto"/>
    </w:pPr>
  </w:style>
  <w:style w:type="paragraph" w:styleId="837">
    <w:name w:val="Title"/>
    <w:basedOn w:val="802"/>
    <w:next w:val="802"/>
    <w:link w:val="8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8" w:customStyle="1">
    <w:name w:val="Название Знак"/>
    <w:basedOn w:val="812"/>
    <w:link w:val="837"/>
    <w:uiPriority w:val="10"/>
    <w:rPr>
      <w:sz w:val="48"/>
      <w:szCs w:val="48"/>
    </w:rPr>
  </w:style>
  <w:style w:type="paragraph" w:styleId="839">
    <w:name w:val="Subtitle"/>
    <w:basedOn w:val="802"/>
    <w:next w:val="802"/>
    <w:link w:val="840"/>
    <w:uiPriority w:val="11"/>
    <w:qFormat/>
    <w:pPr>
      <w:spacing w:before="200" w:after="200"/>
    </w:pPr>
    <w:rPr>
      <w:sz w:val="24"/>
      <w:szCs w:val="24"/>
    </w:rPr>
  </w:style>
  <w:style w:type="character" w:styleId="840" w:customStyle="1">
    <w:name w:val="Подзаголовок Знак"/>
    <w:basedOn w:val="812"/>
    <w:link w:val="839"/>
    <w:uiPriority w:val="11"/>
    <w:rPr>
      <w:sz w:val="24"/>
      <w:szCs w:val="24"/>
    </w:rPr>
  </w:style>
  <w:style w:type="paragraph" w:styleId="841">
    <w:name w:val="Quote"/>
    <w:basedOn w:val="802"/>
    <w:next w:val="802"/>
    <w:link w:val="842"/>
    <w:uiPriority w:val="29"/>
    <w:qFormat/>
    <w:pPr>
      <w:ind w:left="720" w:right="720"/>
    </w:pPr>
    <w:rPr>
      <w:i/>
    </w:rPr>
  </w:style>
  <w:style w:type="character" w:styleId="842" w:customStyle="1">
    <w:name w:val="Цитата 2 Знак"/>
    <w:link w:val="841"/>
    <w:uiPriority w:val="29"/>
    <w:rPr>
      <w:i/>
    </w:rPr>
  </w:style>
  <w:style w:type="paragraph" w:styleId="843">
    <w:name w:val="Intense Quote"/>
    <w:basedOn w:val="802"/>
    <w:next w:val="802"/>
    <w:link w:val="8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4" w:customStyle="1">
    <w:name w:val="Выделенная цитата Знак"/>
    <w:link w:val="843"/>
    <w:uiPriority w:val="30"/>
    <w:rPr>
      <w:i/>
    </w:rPr>
  </w:style>
  <w:style w:type="character" w:styleId="845" w:customStyle="1">
    <w:name w:val="Header Char"/>
    <w:basedOn w:val="812"/>
    <w:uiPriority w:val="99"/>
  </w:style>
  <w:style w:type="character" w:styleId="846" w:customStyle="1">
    <w:name w:val="Footer Char"/>
    <w:basedOn w:val="812"/>
    <w:uiPriority w:val="99"/>
  </w:style>
  <w:style w:type="paragraph" w:styleId="847">
    <w:name w:val="Caption"/>
    <w:basedOn w:val="802"/>
    <w:next w:val="802"/>
    <w:link w:val="84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48" w:customStyle="1">
    <w:name w:val="Caption Char"/>
    <w:uiPriority w:val="99"/>
  </w:style>
  <w:style w:type="table" w:styleId="849" w:customStyle="1">
    <w:name w:val="Table Grid Light"/>
    <w:basedOn w:val="81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0" w:customStyle="1">
    <w:name w:val="Plain Table 1"/>
    <w:basedOn w:val="81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1" w:customStyle="1">
    <w:name w:val="Plain Table 2"/>
    <w:basedOn w:val="81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 w:customStyle="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3" w:customStyle="1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7" w:customStyle="1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8" w:customStyle="1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9" w:customStyle="1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0" w:customStyle="1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1" w:customStyle="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2" w:customStyle="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3" w:customStyle="1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1" w:customStyle="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2" w:customStyle="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3" w:customStyle="1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4" w:customStyle="1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5" w:customStyle="1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6" w:customStyle="1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7" w:customStyle="1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8" w:customStyle="1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0" w:customStyle="1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1" w:customStyle="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2" w:customStyle="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3" w:customStyle="1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4" w:customStyle="1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5" w:customStyle="1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6" w:customStyle="1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ned - Accent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4" w:customStyle="1">
    <w:name w:val="Lined - Accent 1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5" w:customStyle="1">
    <w:name w:val="Lined - Accent 2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6" w:customStyle="1">
    <w:name w:val="Lined - Accent 3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7" w:customStyle="1">
    <w:name w:val="Lined - Accent 4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8" w:customStyle="1">
    <w:name w:val="Lined - Accent 5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9" w:customStyle="1">
    <w:name w:val="Lined - Accent 6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0" w:customStyle="1">
    <w:name w:val="Bordered &amp; Lined - Accent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1" w:customStyle="1">
    <w:name w:val="Bordered &amp; Lined - Accent 1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2" w:customStyle="1">
    <w:name w:val="Bordered &amp; Lined - Accent 2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3" w:customStyle="1">
    <w:name w:val="Bordered &amp; Lined - Accent 3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4" w:customStyle="1">
    <w:name w:val="Bordered &amp; Lined - Accent 4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5" w:customStyle="1">
    <w:name w:val="Bordered &amp; Lined - Accent 5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6" w:customStyle="1">
    <w:name w:val="Bordered &amp; Lined - Accent 6"/>
    <w:basedOn w:val="81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7" w:customStyle="1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8" w:customStyle="1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9" w:customStyle="1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0" w:customStyle="1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1" w:customStyle="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2" w:customStyle="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3" w:customStyle="1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74">
    <w:name w:val="footnote text"/>
    <w:basedOn w:val="802"/>
    <w:link w:val="975"/>
    <w:uiPriority w:val="99"/>
    <w:semiHidden/>
    <w:unhideWhenUsed/>
    <w:pPr>
      <w:spacing w:after="40"/>
    </w:pPr>
    <w:rPr>
      <w:sz w:val="18"/>
    </w:rPr>
  </w:style>
  <w:style w:type="character" w:styleId="975" w:customStyle="1">
    <w:name w:val="Текст сноски Знак"/>
    <w:link w:val="974"/>
    <w:uiPriority w:val="99"/>
    <w:rPr>
      <w:sz w:val="18"/>
    </w:rPr>
  </w:style>
  <w:style w:type="character" w:styleId="976">
    <w:name w:val="footnote reference"/>
    <w:basedOn w:val="812"/>
    <w:uiPriority w:val="99"/>
    <w:unhideWhenUsed/>
    <w:rPr>
      <w:vertAlign w:val="superscript"/>
    </w:rPr>
  </w:style>
  <w:style w:type="paragraph" w:styleId="977">
    <w:name w:val="endnote text"/>
    <w:basedOn w:val="802"/>
    <w:link w:val="978"/>
    <w:uiPriority w:val="99"/>
    <w:semiHidden/>
    <w:unhideWhenUsed/>
    <w:rPr>
      <w:sz w:val="20"/>
    </w:rPr>
  </w:style>
  <w:style w:type="character" w:styleId="978" w:customStyle="1">
    <w:name w:val="Текст концевой сноски Знак"/>
    <w:link w:val="977"/>
    <w:uiPriority w:val="99"/>
    <w:rPr>
      <w:sz w:val="20"/>
    </w:rPr>
  </w:style>
  <w:style w:type="character" w:styleId="979">
    <w:name w:val="endnote reference"/>
    <w:basedOn w:val="812"/>
    <w:uiPriority w:val="99"/>
    <w:semiHidden/>
    <w:unhideWhenUsed/>
    <w:rPr>
      <w:vertAlign w:val="superscript"/>
    </w:rPr>
  </w:style>
  <w:style w:type="paragraph" w:styleId="980">
    <w:name w:val="toc 2"/>
    <w:basedOn w:val="802"/>
    <w:next w:val="802"/>
    <w:uiPriority w:val="39"/>
    <w:unhideWhenUsed/>
    <w:pPr>
      <w:ind w:left="283"/>
      <w:spacing w:after="57"/>
    </w:pPr>
  </w:style>
  <w:style w:type="paragraph" w:styleId="981">
    <w:name w:val="toc 3"/>
    <w:basedOn w:val="802"/>
    <w:next w:val="802"/>
    <w:uiPriority w:val="39"/>
    <w:unhideWhenUsed/>
    <w:pPr>
      <w:ind w:left="567"/>
      <w:spacing w:after="57"/>
    </w:pPr>
  </w:style>
  <w:style w:type="paragraph" w:styleId="982">
    <w:name w:val="toc 5"/>
    <w:basedOn w:val="802"/>
    <w:next w:val="802"/>
    <w:uiPriority w:val="39"/>
    <w:unhideWhenUsed/>
    <w:pPr>
      <w:ind w:left="1134"/>
      <w:spacing w:after="57"/>
    </w:pPr>
  </w:style>
  <w:style w:type="paragraph" w:styleId="983">
    <w:name w:val="toc 6"/>
    <w:basedOn w:val="802"/>
    <w:next w:val="802"/>
    <w:uiPriority w:val="39"/>
    <w:unhideWhenUsed/>
    <w:pPr>
      <w:ind w:left="1417"/>
      <w:spacing w:after="57"/>
    </w:pPr>
  </w:style>
  <w:style w:type="paragraph" w:styleId="984">
    <w:name w:val="toc 7"/>
    <w:basedOn w:val="802"/>
    <w:next w:val="802"/>
    <w:uiPriority w:val="39"/>
    <w:unhideWhenUsed/>
    <w:pPr>
      <w:ind w:left="1701"/>
      <w:spacing w:after="57"/>
    </w:pPr>
  </w:style>
  <w:style w:type="paragraph" w:styleId="985">
    <w:name w:val="toc 8"/>
    <w:basedOn w:val="802"/>
    <w:next w:val="802"/>
    <w:uiPriority w:val="39"/>
    <w:unhideWhenUsed/>
    <w:pPr>
      <w:ind w:left="1984"/>
      <w:spacing w:after="57"/>
    </w:pPr>
  </w:style>
  <w:style w:type="paragraph" w:styleId="986">
    <w:name w:val="toc 9"/>
    <w:basedOn w:val="802"/>
    <w:next w:val="802"/>
    <w:uiPriority w:val="39"/>
    <w:unhideWhenUsed/>
    <w:pPr>
      <w:ind w:left="2268"/>
      <w:spacing w:after="57"/>
    </w:pPr>
  </w:style>
  <w:style w:type="paragraph" w:styleId="987">
    <w:name w:val="TOC Heading"/>
    <w:uiPriority w:val="39"/>
    <w:unhideWhenUsed/>
  </w:style>
  <w:style w:type="paragraph" w:styleId="988">
    <w:name w:val="table of figures"/>
    <w:basedOn w:val="802"/>
    <w:next w:val="802"/>
    <w:uiPriority w:val="99"/>
    <w:unhideWhenUsed/>
  </w:style>
  <w:style w:type="paragraph" w:styleId="989">
    <w:name w:val="toc 1"/>
    <w:basedOn w:val="802"/>
    <w:next w:val="802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990">
    <w:name w:val="Hyperlink"/>
    <w:uiPriority w:val="99"/>
    <w:rPr>
      <w:color w:val="0000ff"/>
      <w:u w:val="single"/>
    </w:rPr>
  </w:style>
  <w:style w:type="paragraph" w:styleId="991">
    <w:name w:val="toc 4"/>
    <w:basedOn w:val="802"/>
    <w:next w:val="802"/>
    <w:uiPriority w:val="39"/>
    <w:pPr>
      <w:ind w:left="560"/>
    </w:pPr>
    <w:rPr>
      <w:rFonts w:cstheme="minorHAnsi"/>
      <w:sz w:val="20"/>
      <w:szCs w:val="20"/>
    </w:rPr>
  </w:style>
  <w:style w:type="paragraph" w:styleId="992">
    <w:name w:val="Header"/>
    <w:basedOn w:val="802"/>
    <w:link w:val="9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3" w:customStyle="1">
    <w:name w:val="Верхний колонтитул Знак"/>
    <w:basedOn w:val="812"/>
    <w:link w:val="99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4">
    <w:name w:val="Footer"/>
    <w:basedOn w:val="802"/>
    <w:link w:val="9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5" w:customStyle="1">
    <w:name w:val="Нижний колонтитул Знак"/>
    <w:basedOn w:val="812"/>
    <w:link w:val="99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96" w:customStyle="1">
    <w:name w:val="Заголовок 1 Знак"/>
    <w:basedOn w:val="812"/>
    <w:link w:val="803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997" w:customStyle="1">
    <w:name w:val="Заголовок 3 Знак"/>
    <w:basedOn w:val="812"/>
    <w:link w:val="805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998" w:customStyle="1">
    <w:name w:val="Заголовок 4 Знак"/>
    <w:basedOn w:val="812"/>
    <w:link w:val="806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999" w:customStyle="1">
    <w:name w:val="комментарий"/>
    <w:rPr>
      <w:b/>
      <w:i/>
      <w:shd w:val="clear" w:color="auto" w:fill="ffff99"/>
    </w:rPr>
  </w:style>
  <w:style w:type="paragraph" w:styleId="1000" w:customStyle="1">
    <w:name w:val="Раздел положения"/>
    <w:basedOn w:val="802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001" w:customStyle="1">
    <w:name w:val="Подраздел раздела положения"/>
    <w:basedOn w:val="802"/>
    <w:pPr>
      <w:numPr>
        <w:ilvl w:val="1"/>
        <w:numId w:val="2"/>
      </w:numPr>
      <w:jc w:val="both"/>
      <w:spacing w:before="80" w:after="80"/>
    </w:pPr>
  </w:style>
  <w:style w:type="paragraph" w:styleId="1002">
    <w:name w:val="List Paragraph"/>
    <w:basedOn w:val="802"/>
    <w:link w:val="1003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003" w:customStyle="1">
    <w:name w:val="Абзац списка Знак"/>
    <w:link w:val="1002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004" w:customStyle="1">
    <w:name w:val="Таблица шапка"/>
    <w:basedOn w:val="802"/>
    <w:pPr>
      <w:ind w:left="57" w:right="57"/>
      <w:keepNext/>
      <w:spacing w:before="40" w:after="40"/>
    </w:pPr>
    <w:rPr>
      <w:sz w:val="22"/>
      <w:szCs w:val="26"/>
    </w:rPr>
  </w:style>
  <w:style w:type="table" w:styleId="1005">
    <w:name w:val="Table Grid"/>
    <w:basedOn w:val="81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6" w:customStyle="1">
    <w:name w:val="Таблица"/>
    <w:basedOn w:val="802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07">
    <w:name w:val="annotation text"/>
    <w:basedOn w:val="802"/>
    <w:link w:val="1008"/>
    <w:semiHidden/>
    <w:rPr>
      <w:sz w:val="20"/>
      <w:szCs w:val="20"/>
    </w:rPr>
  </w:style>
  <w:style w:type="character" w:styleId="1008" w:customStyle="1">
    <w:name w:val="Текст примечания Знак"/>
    <w:basedOn w:val="812"/>
    <w:link w:val="1007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9">
    <w:name w:val="Balloon Text"/>
    <w:basedOn w:val="802"/>
    <w:link w:val="1010"/>
    <w:uiPriority w:val="99"/>
    <w:semiHidden/>
    <w:unhideWhenUsed/>
    <w:rPr>
      <w:rFonts w:ascii="Tahoma" w:hAnsi="Tahoma" w:cs="Tahoma"/>
      <w:sz w:val="16"/>
      <w:szCs w:val="16"/>
    </w:rPr>
  </w:style>
  <w:style w:type="character" w:styleId="1010" w:customStyle="1">
    <w:name w:val="Текст выноски Знак"/>
    <w:basedOn w:val="812"/>
    <w:link w:val="100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11" w:customStyle="1">
    <w:name w:val="Contents 1"/>
    <w:basedOn w:val="1012"/>
    <w:qFormat/>
    <w:pPr>
      <w:contextualSpacing w:val="0"/>
      <w:ind w:left="0" w:right="0" w:firstLine="0"/>
      <w:jc w:val="left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012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1013" w:customStyle="1">
    <w:name w:val="Index Link"/>
    <w:qFormat/>
    <w:rPr>
      <w:rFonts w:ascii="Calibri" w:hAnsi="Calibri" w:cs="Calibri"/>
      <w:color w:val="000000"/>
      <w:sz w:val="22"/>
      <w:lang w:val="ru-RU"/>
    </w:rPr>
  </w:style>
  <w:style w:type="paragraph" w:styleId="1014" w:customStyle="1">
    <w:name w:val="Contents 4"/>
    <w:basedOn w:val="1012"/>
    <w:qFormat/>
    <w:pPr>
      <w:contextualSpacing w:val="0"/>
      <w:ind w:left="56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cp:keywords/>
  <dc:description/>
  <cp:lastModifiedBy>evstratenko_av</cp:lastModifiedBy>
  <cp:revision>123</cp:revision>
  <dcterms:created xsi:type="dcterms:W3CDTF">2023-01-10T06:58:00Z</dcterms:created>
  <dcterms:modified xsi:type="dcterms:W3CDTF">2026-06-04T00:02:21Z</dcterms:modified>
</cp:coreProperties>
</file>